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D1E6B" w14:textId="7091D428" w:rsidR="00D84549" w:rsidRPr="001F601A" w:rsidRDefault="00D84549" w:rsidP="001F601A">
      <w:pPr>
        <w:pStyle w:val="Heading2"/>
        <w:spacing w:line="240" w:lineRule="auto"/>
        <w:ind w:left="426" w:hanging="426"/>
        <w:rPr>
          <w:sz w:val="26"/>
          <w:szCs w:val="26"/>
        </w:rPr>
      </w:pPr>
      <w:bookmarkStart w:id="0" w:name="_Toc100315621"/>
      <w:bookmarkStart w:id="1" w:name="_Toc163745450"/>
      <w:r w:rsidRPr="001F601A">
        <w:rPr>
          <w:sz w:val="26"/>
          <w:szCs w:val="26"/>
        </w:rPr>
        <w:t xml:space="preserve">1.3. Հարկաբյուջետային </w:t>
      </w:r>
      <w:r w:rsidR="002570E5" w:rsidRPr="001F601A">
        <w:rPr>
          <w:sz w:val="26"/>
          <w:szCs w:val="26"/>
        </w:rPr>
        <w:t>քաղաքականության հիմնական ուղղությունները և հարկային վարչարար</w:t>
      </w:r>
      <w:bookmarkStart w:id="2" w:name="_GoBack"/>
      <w:bookmarkEnd w:id="2"/>
      <w:r w:rsidR="002570E5" w:rsidRPr="001F601A">
        <w:rPr>
          <w:sz w:val="26"/>
          <w:szCs w:val="26"/>
        </w:rPr>
        <w:t>ություն</w:t>
      </w:r>
    </w:p>
    <w:p w14:paraId="419B2CA2" w14:textId="78A81A4E" w:rsidR="00752EC7" w:rsidRPr="00C247F5" w:rsidRDefault="00D84549" w:rsidP="00C247F5">
      <w:pPr>
        <w:pStyle w:val="Heading3"/>
        <w:numPr>
          <w:ilvl w:val="2"/>
          <w:numId w:val="17"/>
        </w:numPr>
        <w:spacing w:before="0" w:after="240"/>
        <w:ind w:left="709" w:hanging="709"/>
        <w:rPr>
          <w:rFonts w:ascii="GHEA Grapalat" w:hAnsi="GHEA Grapalat"/>
          <w:b/>
          <w:color w:val="auto"/>
        </w:rPr>
      </w:pPr>
      <w:r w:rsidRPr="00C247F5">
        <w:rPr>
          <w:rFonts w:ascii="GHEA Grapalat" w:hAnsi="GHEA Grapalat"/>
          <w:b/>
          <w:color w:val="auto"/>
        </w:rPr>
        <w:t xml:space="preserve">Հարկաբյուջետային քաղաքականության հիմնական </w:t>
      </w:r>
      <w:bookmarkEnd w:id="0"/>
      <w:bookmarkEnd w:id="1"/>
      <w:r w:rsidRPr="00C247F5">
        <w:rPr>
          <w:rFonts w:ascii="GHEA Grapalat" w:hAnsi="GHEA Grapalat"/>
          <w:b/>
          <w:color w:val="auto"/>
        </w:rPr>
        <w:t>ուղղությունները</w:t>
      </w:r>
      <w:r w:rsidR="00752EC7" w:rsidRPr="00C247F5">
        <w:rPr>
          <w:rFonts w:ascii="GHEA Grapalat" w:hAnsi="GHEA Grapalat"/>
          <w:b/>
          <w:color w:val="auto"/>
        </w:rPr>
        <w:t xml:space="preserve"> </w:t>
      </w:r>
    </w:p>
    <w:p w14:paraId="790C25FB" w14:textId="2D51E0AE"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հարկաբյուջետային քաղաքականությունն ուղղված է եղել ՀՀ կառավարության</w:t>
      </w:r>
      <w:r w:rsidR="00E17081">
        <w:rPr>
          <w:rFonts w:ascii="GHEA Grapalat" w:eastAsia="Calibri" w:hAnsi="GHEA Grapalat" w:cs="Sylfaen"/>
          <w:noProof/>
          <w:lang w:val="hy-AM"/>
        </w:rPr>
        <w:t xml:space="preserve"> 2021</w:t>
      </w:r>
      <w:r w:rsidR="00E17081" w:rsidRPr="002570E5">
        <w:rPr>
          <w:rFonts w:ascii="GHEA Grapalat" w:eastAsia="Calibri" w:hAnsi="GHEA Grapalat" w:cs="Sylfaen"/>
          <w:noProof/>
          <w:lang w:val="de-AT"/>
        </w:rPr>
        <w:noBreakHyphen/>
      </w:r>
      <w:r w:rsidRPr="00752EC7">
        <w:rPr>
          <w:rFonts w:ascii="GHEA Grapalat" w:eastAsia="Calibri" w:hAnsi="GHEA Grapalat" w:cs="Sylfaen"/>
          <w:noProof/>
          <w:lang w:val="hy-AM"/>
        </w:rPr>
        <w:t xml:space="preserve">2026թթ. </w:t>
      </w:r>
      <w:r w:rsidR="00D84549">
        <w:rPr>
          <w:rFonts w:ascii="GHEA Grapalat" w:eastAsia="Calibri" w:hAnsi="GHEA Grapalat" w:cs="Sylfaen"/>
          <w:noProof/>
          <w:lang w:val="hy-AM"/>
        </w:rPr>
        <w:t>ծ</w:t>
      </w:r>
      <w:r w:rsidRPr="00752EC7">
        <w:rPr>
          <w:rFonts w:ascii="GHEA Grapalat" w:eastAsia="Calibri" w:hAnsi="GHEA Grapalat" w:cs="Sylfaen"/>
          <w:noProof/>
          <w:lang w:val="hy-AM"/>
        </w:rPr>
        <w:t>րագրի թիրախների ապահովմանը՝ պետական ներդրումների մակարդակի բարձրացմամբ, ծախսերի իրականացման արդյունավետության աճով և պարտքի կայունության պահպանմամ</w:t>
      </w:r>
      <w:r>
        <w:rPr>
          <w:rFonts w:ascii="GHEA Grapalat" w:eastAsia="Calibri" w:hAnsi="GHEA Grapalat" w:cs="Sylfaen"/>
          <w:noProof/>
          <w:lang w:val="hy-AM"/>
        </w:rPr>
        <w:t>բ</w:t>
      </w:r>
      <w:r w:rsidRPr="00752EC7">
        <w:rPr>
          <w:rFonts w:ascii="GHEA Grapalat" w:eastAsia="Calibri" w:hAnsi="GHEA Grapalat" w:cs="Sylfaen"/>
          <w:noProof/>
          <w:lang w:val="hy-AM"/>
        </w:rPr>
        <w:t xml:space="preserve">: Տնտեսական աճի՝ իր ներուժային մակարդակին մոտենալու պայմաններում հարկաբյուջետային քաղաքականությունն ունեցել է չեզոքին մոտ դիրք՝ միաժամանակ ուղղված լինելով տնտեսական ներուժի բարձրացմանը և կառավարության պարտքի կայունության պահպանմանը: </w:t>
      </w:r>
    </w:p>
    <w:p w14:paraId="5B35D4A3" w14:textId="644EB326" w:rsidR="00360A1D"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GHEA Grapalat" w:hAnsi="GHEA Grapalat" w:cs="GHEA Grapalat"/>
          <w:b/>
          <w:i/>
          <w:noProof/>
          <w:lang w:val="hy-AM"/>
        </w:rPr>
        <w:t>Պետական բյուջեի եկամուտները:</w:t>
      </w:r>
      <w:r w:rsidRPr="00752EC7">
        <w:rPr>
          <w:rFonts w:ascii="GHEA Grapalat" w:eastAsia="GHEA Grapalat" w:hAnsi="GHEA Grapalat" w:cs="GHEA Grapalat"/>
          <w:noProof/>
          <w:lang w:val="hy-AM"/>
        </w:rPr>
        <w:t xml:space="preserve"> </w:t>
      </w:r>
      <w:r w:rsidRPr="00752EC7">
        <w:rPr>
          <w:rFonts w:ascii="GHEA Grapalat" w:eastAsia="Calibri" w:hAnsi="GHEA Grapalat" w:cs="Sylfaen"/>
          <w:noProof/>
          <w:lang w:val="hy-AM"/>
        </w:rPr>
        <w:t>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արձանագրվել է ՀՀ պետական բյուջեի եկամուտների աճի տեմպի դանդաղում՝ պայմանավորված հիմնականում տնտեսական աճի մեջ ոչ հարկունակ ճյուղերի էական դերակատարմամբ և դրա արդյունքում՝ ընդհանուր տնտեսական ակտիվությունից հետ ընկած հարկման բազաների աճով։ 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արդյունքներով ՀՀ պետական բյուջեի ընդհանուր եկամուտները կազմել են 2,579 մլրդ դրամ՝ նախորդ տարվա համեմատ աճելով</w:t>
      </w:r>
      <w:r w:rsidR="00B24840">
        <w:rPr>
          <w:rFonts w:ascii="GHEA Grapalat" w:eastAsia="Calibri" w:hAnsi="GHEA Grapalat" w:cs="Sylfaen"/>
          <w:noProof/>
          <w:lang w:val="hy-AM"/>
        </w:rPr>
        <w:t xml:space="preserve"> 7</w:t>
      </w:r>
      <w:r w:rsidRPr="00752EC7">
        <w:rPr>
          <w:rFonts w:ascii="GHEA Grapalat" w:eastAsia="Calibri" w:hAnsi="GHEA Grapalat" w:cs="Sylfaen"/>
          <w:noProof/>
          <w:lang w:val="hy-AM"/>
        </w:rPr>
        <w:t>%-ով, իսկ ՀՆԱ-ի նկատմամբ կազմել են 25.47%՝ նախորդ տարվա</w:t>
      </w:r>
      <w:r w:rsidR="007B6A23">
        <w:rPr>
          <w:rFonts w:ascii="GHEA Grapalat" w:eastAsia="Calibri" w:hAnsi="GHEA Grapalat" w:cs="Sylfaen"/>
          <w:noProof/>
          <w:lang w:val="hy-AM"/>
        </w:rPr>
        <w:t xml:space="preserve"> 25.5</w:t>
      </w:r>
      <w:r w:rsidRPr="00752EC7">
        <w:rPr>
          <w:rFonts w:ascii="GHEA Grapalat" w:eastAsia="Calibri" w:hAnsi="GHEA Grapalat" w:cs="Sylfaen"/>
          <w:noProof/>
          <w:lang w:val="hy-AM"/>
        </w:rPr>
        <w:t>%-ի դիմաց, ինչը հիմնականում պայմանավորված է եղել ՀՆԱ</w:t>
      </w:r>
      <w:r w:rsidR="00717A7B">
        <w:rPr>
          <w:rFonts w:ascii="Calibri" w:eastAsia="Calibri" w:hAnsi="Calibri" w:cs="Calibri"/>
          <w:noProof/>
          <w:lang w:val="hy-AM"/>
        </w:rPr>
        <w:noBreakHyphen/>
      </w:r>
      <w:r w:rsidRPr="00752EC7">
        <w:rPr>
          <w:rFonts w:ascii="GHEA Grapalat" w:eastAsia="Calibri" w:hAnsi="GHEA Grapalat" w:cs="Sylfaen"/>
          <w:noProof/>
          <w:lang w:val="hy-AM"/>
        </w:rPr>
        <w:t>ի նկատմամբ հարկային եկամուտների կշռի նվազմամբ:</w:t>
      </w:r>
    </w:p>
    <w:p w14:paraId="6219F3EF" w14:textId="7C015C10"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 xml:space="preserve"> </w:t>
      </w:r>
    </w:p>
    <w:p w14:paraId="18B00B71" w14:textId="1CA276B3" w:rsidR="00752EC7" w:rsidRPr="007B6A23" w:rsidRDefault="001D420C" w:rsidP="007B6A23">
      <w:pPr>
        <w:pStyle w:val="ListParagraph"/>
        <w:spacing w:after="0"/>
        <w:ind w:left="0"/>
        <w:jc w:val="both"/>
        <w:rPr>
          <w:rFonts w:ascii="GHEA Grapalat" w:eastAsiaTheme="minorHAnsi" w:hAnsi="GHEA Grapalat" w:cstheme="minorBidi"/>
          <w:b/>
          <w:bCs/>
          <w:sz w:val="18"/>
          <w:szCs w:val="18"/>
          <w:lang w:val="hy-AM" w:eastAsia="en-US"/>
        </w:rPr>
      </w:pPr>
      <w:r w:rsidRPr="007B6A23">
        <w:rPr>
          <w:rFonts w:ascii="GHEA Grapalat" w:eastAsiaTheme="minorHAnsi" w:hAnsi="GHEA Grapalat" w:cstheme="minorBidi"/>
          <w:b/>
          <w:bCs/>
          <w:sz w:val="18"/>
          <w:szCs w:val="18"/>
          <w:lang w:val="hy-AM" w:eastAsia="en-US"/>
        </w:rPr>
        <w:t>Գծապատկեր 1</w:t>
      </w:r>
      <w:r w:rsidRPr="007B6A23">
        <w:rPr>
          <w:rFonts w:ascii="Cambria Math" w:eastAsiaTheme="minorHAnsi" w:hAnsi="Cambria Math" w:cs="Cambria Math"/>
          <w:b/>
          <w:bCs/>
          <w:sz w:val="18"/>
          <w:szCs w:val="18"/>
          <w:lang w:val="hy-AM" w:eastAsia="en-US"/>
        </w:rPr>
        <w:t>․</w:t>
      </w:r>
      <w:r w:rsidRPr="007B6A23">
        <w:rPr>
          <w:rFonts w:ascii="GHEA Grapalat" w:eastAsiaTheme="minorHAnsi" w:hAnsi="GHEA Grapalat" w:cstheme="minorBidi"/>
          <w:b/>
          <w:bCs/>
          <w:sz w:val="18"/>
          <w:szCs w:val="18"/>
          <w:lang w:val="hy-AM" w:eastAsia="en-US"/>
        </w:rPr>
        <w:t xml:space="preserve"> </w:t>
      </w:r>
      <w:r w:rsidR="00752EC7" w:rsidRPr="007B6A23">
        <w:rPr>
          <w:rFonts w:ascii="GHEA Grapalat" w:eastAsiaTheme="minorHAnsi" w:hAnsi="GHEA Grapalat" w:cstheme="minorBidi"/>
          <w:b/>
          <w:bCs/>
          <w:sz w:val="18"/>
          <w:szCs w:val="18"/>
          <w:lang w:val="hy-AM" w:eastAsia="en-US"/>
        </w:rPr>
        <w:t>Պետական բյուջեի եկամուտները</w:t>
      </w:r>
      <w:r w:rsidR="00C206EC" w:rsidRPr="007B6A23">
        <w:rPr>
          <w:rFonts w:ascii="GHEA Grapalat" w:eastAsiaTheme="minorHAnsi" w:hAnsi="GHEA Grapalat" w:cstheme="minorBidi"/>
          <w:bCs/>
          <w:vertAlign w:val="superscript"/>
          <w:lang w:eastAsia="en-US"/>
        </w:rPr>
        <w:footnoteReference w:id="1"/>
      </w:r>
      <w:r w:rsidR="00752EC7" w:rsidRPr="007B6A23">
        <w:rPr>
          <w:rFonts w:ascii="GHEA Grapalat" w:eastAsiaTheme="minorHAnsi" w:hAnsi="GHEA Grapalat" w:cstheme="minorBidi"/>
          <w:b/>
          <w:bCs/>
          <w:sz w:val="18"/>
          <w:szCs w:val="18"/>
          <w:lang w:val="hy-AM" w:eastAsia="en-US"/>
        </w:rPr>
        <w:t xml:space="preserve"> և ծախսերը 2020-2024թթ.</w:t>
      </w:r>
    </w:p>
    <w:p w14:paraId="34B3ABF1" w14:textId="77777777" w:rsidR="00752EC7" w:rsidRPr="00752EC7" w:rsidRDefault="00752EC7" w:rsidP="00360A1D">
      <w:pPr>
        <w:spacing w:after="0" w:line="276" w:lineRule="auto"/>
        <w:rPr>
          <w:rFonts w:ascii="GHEA Grapalat" w:eastAsia="GHEA Grapalat" w:hAnsi="GHEA Grapalat" w:cs="GHEA Grapalat"/>
          <w:noProof/>
          <w:lang w:val="hy-AM"/>
        </w:rPr>
      </w:pPr>
      <w:r w:rsidRPr="00752EC7">
        <w:rPr>
          <w:rFonts w:ascii="GHEA Grapalat" w:eastAsia="Times New Roman" w:hAnsi="GHEA Grapalat" w:cs="Times New Roman"/>
          <w:noProof/>
        </w:rPr>
        <w:drawing>
          <wp:inline distT="0" distB="0" distL="0" distR="0" wp14:anchorId="45A4321F" wp14:editId="5499FD5E">
            <wp:extent cx="3200400" cy="3712210"/>
            <wp:effectExtent l="0" t="0" r="0" b="2540"/>
            <wp:docPr id="1" name="Object 4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752EC7">
        <w:rPr>
          <w:rFonts w:ascii="GHEA Grapalat" w:eastAsia="GHEA Grapalat" w:hAnsi="GHEA Grapalat" w:cs="GHEA Grapalat"/>
          <w:noProof/>
          <w:lang w:val="hy-AM"/>
        </w:rPr>
        <w:t xml:space="preserve"> </w:t>
      </w:r>
      <w:r w:rsidRPr="00752EC7">
        <w:rPr>
          <w:rFonts w:ascii="GHEA Grapalat" w:eastAsia="Times New Roman" w:hAnsi="GHEA Grapalat" w:cs="Times New Roman"/>
          <w:noProof/>
        </w:rPr>
        <w:drawing>
          <wp:inline distT="0" distB="0" distL="0" distR="0" wp14:anchorId="4017E53A" wp14:editId="3088DBD7">
            <wp:extent cx="3200400" cy="3707130"/>
            <wp:effectExtent l="0" t="0" r="0" b="7620"/>
            <wp:docPr id="2" name="Object 4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D449F3E" w14:textId="77777777" w:rsidR="00EF7355" w:rsidRDefault="00EF7355" w:rsidP="00360A1D">
      <w:pPr>
        <w:spacing w:before="240" w:after="0" w:line="276" w:lineRule="auto"/>
        <w:ind w:firstLine="567"/>
        <w:jc w:val="both"/>
        <w:rPr>
          <w:rFonts w:ascii="GHEA Grapalat" w:eastAsia="Calibri" w:hAnsi="GHEA Grapalat" w:cs="Sylfaen"/>
          <w:noProof/>
          <w:lang w:val="hy-AM"/>
        </w:rPr>
      </w:pPr>
    </w:p>
    <w:p w14:paraId="5C1389AC" w14:textId="494F2B80" w:rsidR="00752EC7" w:rsidRDefault="00752EC7" w:rsidP="00EF7355">
      <w:pPr>
        <w:spacing w:after="0" w:line="276" w:lineRule="auto"/>
        <w:ind w:firstLine="567"/>
        <w:jc w:val="both"/>
        <w:rPr>
          <w:rFonts w:ascii="GHEA Grapalat" w:eastAsia="Calibri" w:hAnsi="GHEA Grapalat" w:cs="Sylfaen"/>
          <w:noProof/>
          <w:color w:val="000000"/>
          <w:lang w:val="hy-AM"/>
        </w:rPr>
      </w:pPr>
      <w:r w:rsidRPr="00752EC7">
        <w:rPr>
          <w:rFonts w:ascii="GHEA Grapalat" w:eastAsia="Calibri" w:hAnsi="GHEA Grapalat" w:cs="Sylfaen"/>
          <w:noProof/>
          <w:lang w:val="hy-AM"/>
        </w:rPr>
        <w:lastRenderedPageBreak/>
        <w:t>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հարկերը և տուրքերը կազմել են 2,39</w:t>
      </w:r>
      <w:r w:rsidR="009E5FFA" w:rsidRPr="002570E5">
        <w:rPr>
          <w:rFonts w:ascii="GHEA Grapalat" w:eastAsia="Calibri" w:hAnsi="GHEA Grapalat" w:cs="Sylfaen"/>
          <w:noProof/>
          <w:lang w:val="hy-AM"/>
        </w:rPr>
        <w:t>1</w:t>
      </w:r>
      <w:r w:rsidRPr="00752EC7">
        <w:rPr>
          <w:rFonts w:ascii="GHEA Grapalat" w:eastAsia="Calibri" w:hAnsi="GHEA Grapalat" w:cs="Sylfaen"/>
          <w:noProof/>
          <w:lang w:val="hy-AM"/>
        </w:rPr>
        <w:t xml:space="preserve"> մլրդ դրամ՝ նախորդ տարվա համեմատ աճելով</w:t>
      </w:r>
      <w:r w:rsidR="009E5FFA">
        <w:rPr>
          <w:rFonts w:ascii="GHEA Grapalat" w:eastAsia="Calibri" w:hAnsi="GHEA Grapalat" w:cs="Sylfaen"/>
          <w:noProof/>
          <w:lang w:val="hy-AM"/>
        </w:rPr>
        <w:t xml:space="preserve"> 5.1%</w:t>
      </w:r>
      <w:r w:rsidR="009E5FFA">
        <w:rPr>
          <w:rFonts w:ascii="GHEA Grapalat" w:eastAsia="Calibri" w:hAnsi="GHEA Grapalat" w:cs="Sylfaen"/>
          <w:noProof/>
          <w:lang w:val="hy-AM"/>
        </w:rPr>
        <w:noBreakHyphen/>
      </w:r>
      <w:r w:rsidRPr="00752EC7">
        <w:rPr>
          <w:rFonts w:ascii="GHEA Grapalat" w:eastAsia="Calibri" w:hAnsi="GHEA Grapalat" w:cs="Sylfaen"/>
          <w:noProof/>
          <w:lang w:val="hy-AM"/>
        </w:rPr>
        <w:t>ով։ Հ</w:t>
      </w:r>
      <w:r w:rsidRPr="00752EC7">
        <w:rPr>
          <w:rFonts w:ascii="GHEA Grapalat" w:eastAsia="Calibri" w:hAnsi="GHEA Grapalat" w:cs="Sylfaen"/>
          <w:noProof/>
          <w:color w:val="000000"/>
          <w:lang w:val="hy-AM"/>
        </w:rPr>
        <w:t>արկերը և տուրքերը կազմել են ՀՆԱ-ի 23.6%-ը՝ նախորդ տարվա նկատմամբ նվազելով 0.45 տոկոսային կետով: 2024</w:t>
      </w:r>
      <w:r w:rsidR="00007792">
        <w:rPr>
          <w:rFonts w:ascii="GHEA Grapalat" w:eastAsia="Calibri" w:hAnsi="GHEA Grapalat" w:cs="Sylfaen"/>
          <w:noProof/>
          <w:color w:val="000000"/>
          <w:lang w:val="hy-AM"/>
        </w:rPr>
        <w:t>թ.</w:t>
      </w:r>
      <w:r w:rsidRPr="00752EC7">
        <w:rPr>
          <w:rFonts w:ascii="GHEA Grapalat" w:eastAsia="Calibri" w:hAnsi="GHEA Grapalat" w:cs="Sylfaen"/>
          <w:noProof/>
          <w:color w:val="000000"/>
          <w:lang w:val="hy-AM"/>
        </w:rPr>
        <w:t xml:space="preserve"> հարկեր/ՀՆԱ հարաբերակցության նվազումը հիմնականում պայմանավորված է տնտեսության կառու</w:t>
      </w:r>
      <w:r w:rsidR="009921AD">
        <w:rPr>
          <w:rFonts w:ascii="GHEA Grapalat" w:eastAsia="Calibri" w:hAnsi="GHEA Grapalat" w:cs="Sylfaen"/>
          <w:noProof/>
          <w:color w:val="000000"/>
          <w:lang w:val="hy-AM"/>
        </w:rPr>
        <w:t>ցված</w:t>
      </w:r>
      <w:r w:rsidR="009E5FFA" w:rsidRPr="002570E5">
        <w:rPr>
          <w:rFonts w:ascii="GHEA Grapalat" w:eastAsia="Calibri" w:hAnsi="GHEA Grapalat" w:cs="Sylfaen"/>
          <w:noProof/>
          <w:color w:val="000000"/>
          <w:lang w:val="hy-AM"/>
        </w:rPr>
        <w:t>ք</w:t>
      </w:r>
      <w:r w:rsidR="009921AD">
        <w:rPr>
          <w:rFonts w:ascii="GHEA Grapalat" w:eastAsia="Calibri" w:hAnsi="GHEA Grapalat" w:cs="Sylfaen"/>
          <w:noProof/>
          <w:color w:val="000000"/>
          <w:lang w:val="hy-AM"/>
        </w:rPr>
        <w:t>ի</w:t>
      </w:r>
      <w:r w:rsidRPr="00752EC7">
        <w:rPr>
          <w:rFonts w:ascii="GHEA Grapalat" w:eastAsia="Calibri" w:hAnsi="GHEA Grapalat" w:cs="Sylfaen"/>
          <w:noProof/>
          <w:color w:val="000000"/>
          <w:lang w:val="hy-AM"/>
        </w:rPr>
        <w:t xml:space="preserve"> փոփոխություններով՝ </w:t>
      </w:r>
      <w:r w:rsidRPr="00AE4E2D">
        <w:rPr>
          <w:rFonts w:ascii="GHEA Grapalat" w:eastAsia="Calibri" w:hAnsi="GHEA Grapalat" w:cs="Sylfaen"/>
          <w:noProof/>
          <w:color w:val="000000"/>
          <w:lang w:val="hy-AM"/>
        </w:rPr>
        <w:t xml:space="preserve">տնտեսությունում </w:t>
      </w:r>
      <w:r w:rsidR="00231898" w:rsidRPr="00AE4E2D">
        <w:rPr>
          <w:rFonts w:ascii="GHEA Grapalat" w:eastAsia="Calibri" w:hAnsi="GHEA Grapalat" w:cs="Sylfaen"/>
          <w:noProof/>
          <w:color w:val="000000"/>
          <w:lang w:val="hy-AM"/>
        </w:rPr>
        <w:t xml:space="preserve">ներքին սպառմանն ուղղված </w:t>
      </w:r>
      <w:r w:rsidRPr="006D46D3">
        <w:rPr>
          <w:rFonts w:ascii="GHEA Grapalat" w:eastAsia="Calibri" w:hAnsi="GHEA Grapalat" w:cs="Sylfaen"/>
          <w:noProof/>
          <w:color w:val="000000"/>
          <w:lang w:val="hy-AM"/>
        </w:rPr>
        <w:t>ներմուծման</w:t>
      </w:r>
      <w:r w:rsidR="008D5298" w:rsidRPr="00AE4E2D">
        <w:rPr>
          <w:rFonts w:ascii="GHEA Grapalat" w:eastAsia="Calibri" w:hAnsi="GHEA Grapalat" w:cs="Sylfaen"/>
          <w:noProof/>
          <w:color w:val="000000"/>
          <w:lang w:val="hy-AM"/>
        </w:rPr>
        <w:t xml:space="preserve"> նկատմամբ </w:t>
      </w:r>
      <w:r w:rsidRPr="00AE4E2D">
        <w:rPr>
          <w:rFonts w:ascii="GHEA Grapalat" w:eastAsia="Calibri" w:hAnsi="GHEA Grapalat" w:cs="Sylfaen"/>
          <w:noProof/>
          <w:color w:val="000000"/>
          <w:lang w:val="hy-AM"/>
        </w:rPr>
        <w:t>արտահանման դերի</w:t>
      </w:r>
      <w:r w:rsidR="008D5298" w:rsidRPr="00AE4E2D">
        <w:rPr>
          <w:rFonts w:ascii="GHEA Grapalat" w:eastAsia="Calibri" w:hAnsi="GHEA Grapalat" w:cs="Sylfaen"/>
          <w:noProof/>
          <w:color w:val="000000"/>
          <w:lang w:val="hy-AM"/>
        </w:rPr>
        <w:t xml:space="preserve"> բարձրացմամբ</w:t>
      </w:r>
      <w:r w:rsidRPr="00AE4E2D">
        <w:rPr>
          <w:rFonts w:ascii="GHEA Grapalat" w:eastAsia="Calibri" w:hAnsi="GHEA Grapalat" w:cs="Sylfaen"/>
          <w:noProof/>
          <w:color w:val="000000"/>
          <w:lang w:val="hy-AM"/>
        </w:rPr>
        <w:t>, ինչը հանգեցրել է հարկման բազաների աճից առաջանցիկ անվանական ՀՆԱ աճին։</w:t>
      </w:r>
      <w:r w:rsidRPr="00752EC7">
        <w:rPr>
          <w:rFonts w:ascii="GHEA Grapalat" w:eastAsia="Calibri" w:hAnsi="GHEA Grapalat" w:cs="Sylfaen"/>
          <w:noProof/>
          <w:color w:val="000000"/>
          <w:lang w:val="hy-AM"/>
        </w:rPr>
        <w:t xml:space="preserve"> Տնտեսության կառուցվածքային փոփոխություններն արտացոլվել են նաև հարկերի և տուրքերի կառուցվածքում՝ դրսևորվելով ներքին տնտեսությունից հավաքագրվող հարկային եկամուտների աճով և ներմուծումից հարկերի նվազմամբ</w:t>
      </w:r>
      <w:r w:rsidRPr="00752EC7">
        <w:rPr>
          <w:rFonts w:ascii="GHEA Grapalat" w:eastAsia="Calibri" w:hAnsi="GHEA Grapalat" w:cs="Times New Roman"/>
          <w:noProof/>
          <w:color w:val="000000"/>
          <w:vertAlign w:val="superscript"/>
          <w:lang w:val="hy-AM"/>
        </w:rPr>
        <w:footnoteReference w:id="2"/>
      </w:r>
      <w:r w:rsidRPr="00752EC7">
        <w:rPr>
          <w:rFonts w:ascii="GHEA Grapalat" w:eastAsia="Calibri" w:hAnsi="GHEA Grapalat" w:cs="Sylfaen"/>
          <w:noProof/>
          <w:color w:val="000000"/>
          <w:lang w:val="hy-AM"/>
        </w:rPr>
        <w:t xml:space="preserve">: </w:t>
      </w:r>
    </w:p>
    <w:p w14:paraId="244A3E8D" w14:textId="77777777" w:rsidR="00360A1D" w:rsidRPr="00752EC7" w:rsidRDefault="00360A1D" w:rsidP="00360A1D">
      <w:pPr>
        <w:spacing w:after="0" w:line="276" w:lineRule="auto"/>
        <w:ind w:firstLine="567"/>
        <w:jc w:val="both"/>
        <w:rPr>
          <w:rFonts w:ascii="GHEA Grapalat" w:eastAsia="Calibri" w:hAnsi="GHEA Grapalat" w:cs="Sylfaen"/>
          <w:noProof/>
          <w:lang w:val="hy-AM"/>
        </w:rPr>
      </w:pPr>
    </w:p>
    <w:p w14:paraId="7495676B" w14:textId="508A8A96" w:rsidR="00752EC7" w:rsidRPr="0005009A" w:rsidRDefault="0005009A" w:rsidP="0005009A">
      <w:pPr>
        <w:pStyle w:val="ListParagraph"/>
        <w:spacing w:after="0"/>
        <w:ind w:left="0"/>
        <w:jc w:val="both"/>
        <w:rPr>
          <w:rFonts w:ascii="GHEA Grapalat" w:eastAsiaTheme="minorHAnsi" w:hAnsi="GHEA Grapalat" w:cstheme="minorBidi"/>
          <w:b/>
          <w:bCs/>
          <w:sz w:val="18"/>
          <w:szCs w:val="18"/>
          <w:lang w:val="hy-AM" w:eastAsia="en-US"/>
        </w:rPr>
      </w:pPr>
      <w:r w:rsidRPr="0005009A">
        <w:rPr>
          <w:rFonts w:ascii="GHEA Grapalat" w:eastAsiaTheme="minorHAnsi" w:hAnsi="GHEA Grapalat" w:cstheme="minorBidi"/>
          <w:b/>
          <w:bCs/>
          <w:sz w:val="18"/>
          <w:szCs w:val="18"/>
          <w:lang w:val="hy-AM" w:eastAsia="en-US"/>
        </w:rPr>
        <w:t>Գծապատկեր</w:t>
      </w:r>
      <w:r w:rsidR="00770469">
        <w:rPr>
          <w:rFonts w:ascii="GHEA Grapalat" w:eastAsiaTheme="minorHAnsi" w:hAnsi="GHEA Grapalat" w:cstheme="minorBidi"/>
          <w:b/>
          <w:bCs/>
          <w:sz w:val="18"/>
          <w:szCs w:val="18"/>
          <w:lang w:val="hy-AM" w:eastAsia="en-US"/>
        </w:rPr>
        <w:t xml:space="preserve"> </w:t>
      </w:r>
      <w:r w:rsidR="001D420C" w:rsidRPr="0005009A">
        <w:rPr>
          <w:rFonts w:ascii="GHEA Grapalat" w:eastAsiaTheme="minorHAnsi" w:hAnsi="GHEA Grapalat" w:cstheme="minorBidi"/>
          <w:b/>
          <w:bCs/>
          <w:sz w:val="18"/>
          <w:szCs w:val="18"/>
          <w:lang w:val="hy-AM" w:eastAsia="en-US"/>
        </w:rPr>
        <w:t>2</w:t>
      </w:r>
      <w:r w:rsidR="001D420C" w:rsidRPr="0005009A">
        <w:rPr>
          <w:rFonts w:ascii="Cambria Math" w:eastAsiaTheme="minorHAnsi" w:hAnsi="Cambria Math" w:cs="Cambria Math"/>
          <w:b/>
          <w:bCs/>
          <w:sz w:val="18"/>
          <w:szCs w:val="18"/>
          <w:lang w:val="hy-AM" w:eastAsia="en-US"/>
        </w:rPr>
        <w:t>․</w:t>
      </w:r>
      <w:r w:rsidR="001D420C" w:rsidRPr="0005009A">
        <w:rPr>
          <w:rFonts w:ascii="GHEA Grapalat" w:eastAsiaTheme="minorHAnsi" w:hAnsi="GHEA Grapalat" w:cstheme="minorBidi"/>
          <w:b/>
          <w:bCs/>
          <w:sz w:val="18"/>
          <w:szCs w:val="18"/>
          <w:lang w:val="hy-AM" w:eastAsia="en-US"/>
        </w:rPr>
        <w:t xml:space="preserve"> </w:t>
      </w:r>
      <w:r w:rsidR="00752EC7" w:rsidRPr="0005009A">
        <w:rPr>
          <w:rFonts w:ascii="GHEA Grapalat" w:eastAsiaTheme="minorHAnsi" w:hAnsi="GHEA Grapalat" w:cstheme="minorBidi"/>
          <w:b/>
          <w:bCs/>
          <w:sz w:val="18"/>
          <w:szCs w:val="18"/>
          <w:lang w:val="hy-AM" w:eastAsia="en-US"/>
        </w:rPr>
        <w:t xml:space="preserve">Պետական բյուջեի հարկատեսակների կշիռը ՀՆԱ-ում 2023-2024թթ. </w:t>
      </w:r>
    </w:p>
    <w:p w14:paraId="22AD6F35" w14:textId="77777777" w:rsidR="00752EC7" w:rsidRPr="00752EC7" w:rsidRDefault="00752EC7" w:rsidP="00751B84">
      <w:pPr>
        <w:spacing w:after="0" w:line="276" w:lineRule="auto"/>
        <w:jc w:val="both"/>
        <w:rPr>
          <w:rFonts w:ascii="GHEA Grapalat" w:eastAsia="GHEA Grapalat" w:hAnsi="GHEA Grapalat" w:cs="GHEA Grapalat"/>
          <w:noProof/>
          <w:lang w:val="hy-AM"/>
        </w:rPr>
      </w:pPr>
      <w:r w:rsidRPr="00752EC7">
        <w:rPr>
          <w:rFonts w:ascii="GHEA Grapalat" w:eastAsia="GHEA Grapalat" w:hAnsi="GHEA Grapalat" w:cs="GHEA Grapalat"/>
          <w:noProof/>
          <w:lang w:val="hy-AM"/>
        </w:rPr>
        <w:t xml:space="preserve"> </w:t>
      </w:r>
      <w:r w:rsidRPr="00752EC7">
        <w:rPr>
          <w:rFonts w:ascii="GHEA Grapalat" w:eastAsia="Times New Roman" w:hAnsi="GHEA Grapalat" w:cs="Times New Roman"/>
          <w:noProof/>
        </w:rPr>
        <w:drawing>
          <wp:inline distT="0" distB="0" distL="0" distR="0" wp14:anchorId="762D4CFF" wp14:editId="30428C47">
            <wp:extent cx="3190875" cy="3609975"/>
            <wp:effectExtent l="0" t="0" r="9525" b="9525"/>
            <wp:docPr id="3" name="Object 4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752EC7">
        <w:rPr>
          <w:rFonts w:ascii="GHEA Grapalat" w:eastAsia="GHEA Grapalat" w:hAnsi="GHEA Grapalat" w:cs="GHEA Grapalat"/>
          <w:noProof/>
          <w:lang w:val="hy-AM"/>
        </w:rPr>
        <w:t xml:space="preserve"> </w:t>
      </w:r>
      <w:r w:rsidRPr="00752EC7">
        <w:rPr>
          <w:rFonts w:ascii="GHEA Grapalat" w:eastAsia="GHEA Grapalat" w:hAnsi="GHEA Grapalat" w:cs="GHEA Grapalat"/>
          <w:noProof/>
        </w:rPr>
        <w:drawing>
          <wp:inline distT="0" distB="0" distL="0" distR="0" wp14:anchorId="01F1BC77" wp14:editId="6E10C93A">
            <wp:extent cx="3148641" cy="3606800"/>
            <wp:effectExtent l="0" t="0" r="13970" b="12700"/>
            <wp:docPr id="4" name="Object 4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FC4AE91" w14:textId="77777777" w:rsidR="00D93535" w:rsidRDefault="00D93535" w:rsidP="00D93535">
      <w:pPr>
        <w:spacing w:after="0" w:line="276" w:lineRule="auto"/>
        <w:ind w:firstLine="567"/>
        <w:jc w:val="both"/>
        <w:rPr>
          <w:rFonts w:ascii="GHEA Grapalat" w:eastAsia="Calibri" w:hAnsi="GHEA Grapalat" w:cs="Sylfaen"/>
          <w:noProof/>
          <w:lang w:val="hy-AM"/>
        </w:rPr>
      </w:pPr>
    </w:p>
    <w:p w14:paraId="180893A5" w14:textId="1CAE8F85" w:rsidR="00752EC7" w:rsidRPr="00752EC7" w:rsidRDefault="00752EC7" w:rsidP="00D93535">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նախորդ տարվա համեմատ այլ եկամուտները և պաշտոնական դրամաշնորհները ՀՆԱ-ի նկատմամբ աճել են համապատասխանաբար 0.3 և 0.</w:t>
      </w:r>
      <w:r w:rsidR="006351F2" w:rsidRPr="00521BCD">
        <w:rPr>
          <w:rFonts w:ascii="GHEA Grapalat" w:eastAsia="Calibri" w:hAnsi="GHEA Grapalat" w:cs="Sylfaen"/>
          <w:noProof/>
          <w:lang w:val="hy-AM"/>
        </w:rPr>
        <w:t>2</w:t>
      </w:r>
      <w:r w:rsidRPr="00752EC7">
        <w:rPr>
          <w:rFonts w:ascii="GHEA Grapalat" w:eastAsia="Calibri" w:hAnsi="GHEA Grapalat" w:cs="Sylfaen"/>
          <w:noProof/>
          <w:lang w:val="hy-AM"/>
        </w:rPr>
        <w:t xml:space="preserve"> տոկոսային կետերով, նախորդ տարվա նկատմամբ այլ եկամուտների աճը կազմել է 30.6%, իսկ պաշտոնական դրամաշնորհների աճը՝ 103.7%:</w:t>
      </w:r>
    </w:p>
    <w:p w14:paraId="1C14CEBA" w14:textId="1C9995DC"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GHEA Grapalat" w:hAnsi="GHEA Grapalat" w:cs="GHEA Grapalat"/>
          <w:b/>
          <w:i/>
          <w:noProof/>
          <w:lang w:val="hy-AM"/>
        </w:rPr>
        <w:t>Պետական բյուջեի ծախսերը:</w:t>
      </w:r>
      <w:r w:rsidRPr="00752EC7">
        <w:rPr>
          <w:rFonts w:ascii="GHEA Grapalat" w:eastAsia="GHEA Grapalat" w:hAnsi="GHEA Grapalat" w:cs="GHEA Grapalat"/>
          <w:noProof/>
          <w:lang w:val="hy-AM"/>
        </w:rPr>
        <w:t xml:space="preserve"> </w:t>
      </w:r>
      <w:r w:rsidRPr="00752EC7">
        <w:rPr>
          <w:rFonts w:ascii="GHEA Grapalat" w:eastAsia="Calibri" w:hAnsi="GHEA Grapalat" w:cs="Sylfaen"/>
          <w:noProof/>
          <w:lang w:val="hy-AM"/>
        </w:rPr>
        <w:t>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պետական բյուջեի ծախսերը կազմել են 2,955 մլրդ դրամ՝ նախորդ տարվա համեմատ աճելով 13.7%-ով: Ընդ որում, ընթացիկ ծախսերը կազմել են</w:t>
      </w:r>
      <w:r w:rsidR="00CF77B8">
        <w:rPr>
          <w:rFonts w:ascii="GHEA Grapalat" w:eastAsia="Calibri" w:hAnsi="GHEA Grapalat" w:cs="Sylfaen"/>
          <w:noProof/>
          <w:lang w:val="hy-AM"/>
        </w:rPr>
        <w:t xml:space="preserve"> 2,414</w:t>
      </w:r>
      <w:r w:rsidRPr="00752EC7">
        <w:rPr>
          <w:rFonts w:ascii="GHEA Grapalat" w:eastAsia="Calibri" w:hAnsi="GHEA Grapalat" w:cs="Sylfaen"/>
          <w:noProof/>
          <w:lang w:val="hy-AM"/>
        </w:rPr>
        <w:t xml:space="preserve"> մլրդ դրամ` նախորդ տարվա համեմատ աճելով 13.5%-ով: Պետական բյուջեի ծախսերի կշիռը ՀՆԱ-ում 2023</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նկատմամբ ավելացել է 1.7 տոկոսային կետով՝ կազմելով 29.2%, որում ընթացիկ ծախսերի </w:t>
      </w:r>
      <w:r w:rsidR="00CF77B8">
        <w:rPr>
          <w:rFonts w:ascii="GHEA Grapalat" w:eastAsia="Calibri" w:hAnsi="GHEA Grapalat" w:cs="Sylfaen"/>
          <w:noProof/>
          <w:lang w:val="hy-AM"/>
        </w:rPr>
        <w:t>կշիռն</w:t>
      </w:r>
      <w:r w:rsidRPr="00752EC7">
        <w:rPr>
          <w:rFonts w:ascii="GHEA Grapalat" w:eastAsia="Calibri" w:hAnsi="GHEA Grapalat" w:cs="Sylfaen"/>
          <w:noProof/>
          <w:lang w:val="hy-AM"/>
        </w:rPr>
        <w:t xml:space="preserve"> աճել է 1.3 տոկոսային կետով՝ կազմելով 23.8%: </w:t>
      </w:r>
    </w:p>
    <w:p w14:paraId="654B685F" w14:textId="34B405B3" w:rsid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Ոչ ֆինանսական ակտիվների հետ գործառնությունները կազմել են 541.7 մլրդ դրամ, որում ոչ ֆինանսական ակտիվների գծով ծախսերը (կապիտալ ծախսեր) կազմել են 557.</w:t>
      </w:r>
      <w:r w:rsidR="00542DA4" w:rsidRPr="00521BCD">
        <w:rPr>
          <w:rFonts w:ascii="GHEA Grapalat" w:eastAsia="Calibri" w:hAnsi="GHEA Grapalat" w:cs="Sylfaen"/>
          <w:noProof/>
          <w:lang w:val="hy-AM"/>
        </w:rPr>
        <w:t>8</w:t>
      </w:r>
      <w:r w:rsidRPr="00752EC7">
        <w:rPr>
          <w:rFonts w:ascii="GHEA Grapalat" w:eastAsia="Calibri" w:hAnsi="GHEA Grapalat" w:cs="Sylfaen"/>
          <w:noProof/>
          <w:lang w:val="hy-AM"/>
        </w:rPr>
        <w:t xml:space="preserve"> մլրդ դրամ` նախորդ </w:t>
      </w:r>
      <w:r w:rsidRPr="00752EC7">
        <w:rPr>
          <w:rFonts w:ascii="GHEA Grapalat" w:eastAsia="Calibri" w:hAnsi="GHEA Grapalat" w:cs="Sylfaen"/>
          <w:noProof/>
          <w:lang w:val="hy-AM"/>
        </w:rPr>
        <w:lastRenderedPageBreak/>
        <w:t>տարվա նկատմամբ աճելով 12.8%-ով: Ոչ ֆինանսական ակտիվների հետ գործառնությունների կշիռը ՀՆԱ-ում աճել է 0.35 տոկոսային կետով՝ կազմելով 5.3%, իսկ ոչ ֆինանսական ակտիվների գծով ծախսերն ավելացել են 0.28 տոկոսային կետով՝ կազմելով ՀՆԱ-ի 5.5%-ը:</w:t>
      </w:r>
      <w:r w:rsidR="00CC05D0">
        <w:rPr>
          <w:rFonts w:ascii="GHEA Grapalat" w:eastAsia="Calibri" w:hAnsi="GHEA Grapalat" w:cs="Sylfaen"/>
          <w:noProof/>
          <w:lang w:val="hy-AM"/>
        </w:rPr>
        <w:t xml:space="preserve"> </w:t>
      </w:r>
      <w:r w:rsidRPr="00752EC7">
        <w:rPr>
          <w:rFonts w:ascii="GHEA Grapalat" w:eastAsia="Calibri" w:hAnsi="GHEA Grapalat" w:cs="Sylfaen"/>
          <w:noProof/>
          <w:lang w:val="hy-AM"/>
        </w:rPr>
        <w:t>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 xml:space="preserve">կապիտալ ծախսերի կատարողականը ճշտված ծրագրի նկատմամբ կազմել է 84.7%՝ նախորդ տարվա 95.8%-ի համեմատ նվազելով 11.1 տոկոսային կետով, մինչդեռ պետական բյուջեի </w:t>
      </w:r>
      <w:r w:rsidR="008A5155">
        <w:rPr>
          <w:rFonts w:ascii="GHEA Grapalat" w:eastAsia="Calibri" w:hAnsi="GHEA Grapalat" w:cs="Sylfaen"/>
          <w:noProof/>
          <w:lang w:val="hy-AM"/>
        </w:rPr>
        <w:t>սկզբնական ծրագրի</w:t>
      </w:r>
      <w:r w:rsidRPr="00752EC7">
        <w:rPr>
          <w:rFonts w:ascii="GHEA Grapalat" w:eastAsia="Calibri" w:hAnsi="GHEA Grapalat" w:cs="Sylfaen"/>
          <w:noProof/>
          <w:lang w:val="hy-AM"/>
        </w:rPr>
        <w:t xml:space="preserve"> նկատմամբ կատարողականը կազմել է 78.5%։ Հատկանշական է, որ արտաքին աջակցությամբ իրականացվող ծրագրերի կատարողականը</w:t>
      </w:r>
      <w:r w:rsidR="00CC05D0">
        <w:rPr>
          <w:rFonts w:ascii="GHEA Grapalat" w:eastAsia="Calibri" w:hAnsi="GHEA Grapalat" w:cs="Sylfaen"/>
          <w:noProof/>
          <w:lang w:val="hy-AM"/>
        </w:rPr>
        <w:t xml:space="preserve"> </w:t>
      </w:r>
      <w:r w:rsidRPr="00752EC7">
        <w:rPr>
          <w:rFonts w:ascii="GHEA Grapalat" w:eastAsia="Calibri" w:hAnsi="GHEA Grapalat" w:cs="Sylfaen"/>
          <w:noProof/>
          <w:lang w:val="hy-AM"/>
        </w:rPr>
        <w:t xml:space="preserve">ճշտված ծրագրի նկատմամբ կազմել է 87%, իսկ բյուջեի </w:t>
      </w:r>
      <w:r w:rsidR="00071582">
        <w:rPr>
          <w:rFonts w:ascii="GHEA Grapalat" w:eastAsia="Calibri" w:hAnsi="GHEA Grapalat" w:cs="Sylfaen"/>
          <w:noProof/>
          <w:lang w:val="hy-AM"/>
        </w:rPr>
        <w:t>սկզբնական ծրագրի</w:t>
      </w:r>
      <w:r w:rsidR="00071582" w:rsidRPr="00752EC7" w:rsidDel="00071582">
        <w:rPr>
          <w:rFonts w:ascii="GHEA Grapalat" w:eastAsia="Calibri" w:hAnsi="GHEA Grapalat" w:cs="Sylfaen"/>
          <w:noProof/>
          <w:lang w:val="hy-AM"/>
        </w:rPr>
        <w:t xml:space="preserve"> </w:t>
      </w:r>
      <w:r w:rsidRPr="00752EC7">
        <w:rPr>
          <w:rFonts w:ascii="GHEA Grapalat" w:eastAsia="Calibri" w:hAnsi="GHEA Grapalat" w:cs="Sylfaen"/>
          <w:noProof/>
          <w:lang w:val="hy-AM"/>
        </w:rPr>
        <w:t>նկատմամբ կազմել է ընդամենը 63.1%: Կատարողականի համեմատաբար ցածր ցուցանիշները ցույց են տալիս, որ կապիտալ ծրագրերի կառավարման և իրականացման արդյունավետության բարձրացման խնդիրը շարունակում է մնալ արդիական։ Միաժամանակ, պետք է նշել, որ կապիտալ ծախսերի կատարումը վերջին տարիներին ուղեկցվում է դրանց պլանավորված ծավալների շարունակական ավելացմամբ, ինչը զսպում է կատարողականի առավել արագ բարելավումը։</w:t>
      </w:r>
    </w:p>
    <w:p w14:paraId="42638074" w14:textId="77777777" w:rsidR="0005009A" w:rsidRPr="00752EC7" w:rsidRDefault="0005009A" w:rsidP="00360A1D">
      <w:pPr>
        <w:spacing w:after="0" w:line="276" w:lineRule="auto"/>
        <w:ind w:firstLine="567"/>
        <w:jc w:val="both"/>
        <w:rPr>
          <w:rFonts w:ascii="GHEA Grapalat" w:eastAsia="Calibri" w:hAnsi="GHEA Grapalat" w:cs="Sylfaen"/>
          <w:noProof/>
          <w:lang w:val="hy-AM"/>
        </w:rPr>
      </w:pPr>
    </w:p>
    <w:tbl>
      <w:tblPr>
        <w:tblStyle w:val="TableGrid2"/>
        <w:tblW w:w="10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926"/>
      </w:tblGrid>
      <w:tr w:rsidR="00752EC7" w:rsidRPr="00533D9B" w14:paraId="3601532D" w14:textId="77777777" w:rsidTr="00360A1D">
        <w:tc>
          <w:tcPr>
            <w:tcW w:w="5166" w:type="dxa"/>
          </w:tcPr>
          <w:p w14:paraId="46122A48" w14:textId="32D9121E" w:rsidR="00752EC7" w:rsidRPr="00770469" w:rsidRDefault="001D420C" w:rsidP="00770469">
            <w:pPr>
              <w:keepNext/>
              <w:keepLines/>
              <w:tabs>
                <w:tab w:val="left" w:pos="1701"/>
                <w:tab w:val="left" w:pos="1985"/>
              </w:tabs>
              <w:autoSpaceDE w:val="0"/>
              <w:autoSpaceDN w:val="0"/>
              <w:adjustRightInd w:val="0"/>
              <w:spacing w:line="276" w:lineRule="auto"/>
              <w:jc w:val="both"/>
              <w:rPr>
                <w:rFonts w:ascii="GHEA Grapalat" w:eastAsia="Calibri" w:hAnsi="GHEA Grapalat"/>
                <w:b/>
                <w:sz w:val="18"/>
                <w:szCs w:val="18"/>
                <w:lang w:val="hy-AM"/>
              </w:rPr>
            </w:pPr>
            <w:r w:rsidRPr="00770469">
              <w:rPr>
                <w:rFonts w:ascii="GHEA Grapalat" w:hAnsi="GHEA Grapalat"/>
                <w:b/>
                <w:sz w:val="18"/>
                <w:szCs w:val="18"/>
                <w:lang w:val="hy-AM"/>
              </w:rPr>
              <w:t>Գծապատկեր 3</w:t>
            </w:r>
            <w:r w:rsidRPr="00770469">
              <w:rPr>
                <w:rFonts w:ascii="Cambria Math" w:hAnsi="Cambria Math" w:cs="Cambria Math"/>
                <w:b/>
                <w:sz w:val="18"/>
                <w:szCs w:val="18"/>
                <w:lang w:val="hy-AM"/>
              </w:rPr>
              <w:t>․</w:t>
            </w:r>
            <w:r w:rsidRPr="00770469">
              <w:rPr>
                <w:rFonts w:ascii="GHEA Grapalat" w:hAnsi="GHEA Grapalat"/>
                <w:b/>
                <w:sz w:val="18"/>
                <w:szCs w:val="18"/>
                <w:lang w:val="hy-AM"/>
              </w:rPr>
              <w:t xml:space="preserve"> </w:t>
            </w:r>
            <w:r w:rsidR="00752EC7" w:rsidRPr="00770469">
              <w:rPr>
                <w:rFonts w:ascii="GHEA Grapalat" w:hAnsi="GHEA Grapalat"/>
                <w:b/>
                <w:sz w:val="18"/>
                <w:szCs w:val="18"/>
                <w:lang w:val="hy-AM"/>
              </w:rPr>
              <w:t>Պետական</w:t>
            </w:r>
            <w:r w:rsidR="00752EC7" w:rsidRPr="00770469">
              <w:rPr>
                <w:rFonts w:ascii="GHEA Grapalat" w:eastAsia="Calibri" w:hAnsi="GHEA Grapalat"/>
                <w:b/>
                <w:sz w:val="18"/>
                <w:szCs w:val="18"/>
                <w:lang w:val="hy-AM"/>
              </w:rPr>
              <w:t xml:space="preserve"> բյուջեի ընթացիկ ծախսերը 2020-2024թթ.</w:t>
            </w:r>
          </w:p>
        </w:tc>
        <w:tc>
          <w:tcPr>
            <w:tcW w:w="5166" w:type="dxa"/>
          </w:tcPr>
          <w:p w14:paraId="41ECD703" w14:textId="2CE8838B" w:rsidR="00752EC7" w:rsidRPr="00770469" w:rsidRDefault="001D420C" w:rsidP="00770469">
            <w:pPr>
              <w:keepNext/>
              <w:keepLines/>
              <w:tabs>
                <w:tab w:val="left" w:pos="1701"/>
                <w:tab w:val="left" w:pos="1985"/>
              </w:tabs>
              <w:autoSpaceDE w:val="0"/>
              <w:autoSpaceDN w:val="0"/>
              <w:adjustRightInd w:val="0"/>
              <w:spacing w:line="276" w:lineRule="auto"/>
              <w:jc w:val="both"/>
              <w:rPr>
                <w:rFonts w:ascii="GHEA Grapalat" w:eastAsia="Calibri" w:hAnsi="GHEA Grapalat"/>
                <w:b/>
                <w:sz w:val="18"/>
                <w:szCs w:val="18"/>
                <w:lang w:val="hy-AM"/>
              </w:rPr>
            </w:pPr>
            <w:r w:rsidRPr="00770469">
              <w:rPr>
                <w:rFonts w:ascii="GHEA Grapalat" w:hAnsi="GHEA Grapalat"/>
                <w:b/>
                <w:sz w:val="18"/>
                <w:szCs w:val="18"/>
                <w:lang w:val="hy-AM"/>
              </w:rPr>
              <w:t>Գծապատկեր 4</w:t>
            </w:r>
            <w:r w:rsidRPr="00770469">
              <w:rPr>
                <w:rFonts w:ascii="Cambria Math" w:hAnsi="Cambria Math" w:cs="Cambria Math"/>
                <w:b/>
                <w:sz w:val="18"/>
                <w:szCs w:val="18"/>
                <w:lang w:val="hy-AM"/>
              </w:rPr>
              <w:t>․</w:t>
            </w:r>
            <w:r w:rsidRPr="00770469">
              <w:rPr>
                <w:rFonts w:ascii="GHEA Grapalat" w:hAnsi="GHEA Grapalat"/>
                <w:b/>
                <w:sz w:val="18"/>
                <w:szCs w:val="18"/>
                <w:lang w:val="hy-AM"/>
              </w:rPr>
              <w:t xml:space="preserve"> </w:t>
            </w:r>
            <w:r w:rsidR="00752EC7" w:rsidRPr="00770469">
              <w:rPr>
                <w:rFonts w:ascii="GHEA Grapalat" w:eastAsia="Calibri" w:hAnsi="GHEA Grapalat"/>
                <w:b/>
                <w:sz w:val="18"/>
                <w:szCs w:val="18"/>
                <w:lang w:val="hy-AM"/>
              </w:rPr>
              <w:t>Պետական բյուջեի ոչ ֆինանսական ակտիվների գծով ծախսերը 2020-2024թթ.</w:t>
            </w:r>
          </w:p>
        </w:tc>
      </w:tr>
      <w:tr w:rsidR="00752EC7" w:rsidRPr="00752EC7" w14:paraId="3CFD6B15" w14:textId="77777777" w:rsidTr="00360A1D">
        <w:tc>
          <w:tcPr>
            <w:tcW w:w="5166" w:type="dxa"/>
          </w:tcPr>
          <w:p w14:paraId="6BE0AAF4" w14:textId="77777777" w:rsidR="00752EC7" w:rsidRPr="00752EC7" w:rsidRDefault="00752EC7" w:rsidP="00360A1D">
            <w:pPr>
              <w:spacing w:before="60" w:line="276" w:lineRule="auto"/>
              <w:jc w:val="both"/>
              <w:rPr>
                <w:rFonts w:ascii="GHEA Grapalat" w:hAnsi="GHEA Grapalat" w:cs="GHEA Grapalat"/>
                <w:noProof/>
                <w:lang w:val="hy-AM"/>
              </w:rPr>
            </w:pPr>
            <w:r w:rsidRPr="00752EC7">
              <w:rPr>
                <w:rFonts w:ascii="GHEA Grapalat" w:eastAsia="GHEA Grapalat" w:hAnsi="GHEA Grapalat" w:cs="GHEA Grapalat"/>
                <w:b/>
                <w:noProof/>
                <w:sz w:val="24"/>
                <w:szCs w:val="24"/>
              </w:rPr>
              <w:drawing>
                <wp:inline distT="0" distB="0" distL="0" distR="0" wp14:anchorId="3F755C06" wp14:editId="18573161">
                  <wp:extent cx="3286125" cy="2879725"/>
                  <wp:effectExtent l="0" t="0" r="9525" b="1587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5166" w:type="dxa"/>
          </w:tcPr>
          <w:p w14:paraId="250B4907" w14:textId="77777777" w:rsidR="00752EC7" w:rsidRPr="00752EC7" w:rsidRDefault="00752EC7" w:rsidP="00360A1D">
            <w:pPr>
              <w:spacing w:before="60" w:line="276" w:lineRule="auto"/>
              <w:jc w:val="both"/>
              <w:rPr>
                <w:rFonts w:ascii="GHEA Grapalat" w:hAnsi="GHEA Grapalat" w:cs="GHEA Grapalat"/>
                <w:noProof/>
                <w:lang w:val="hy-AM"/>
              </w:rPr>
            </w:pPr>
            <w:r w:rsidRPr="00752EC7">
              <w:rPr>
                <w:rFonts w:ascii="GHEA Grapalat" w:eastAsia="GHEA Grapalat" w:hAnsi="GHEA Grapalat" w:cs="GHEA Grapalat"/>
                <w:b/>
                <w:noProof/>
                <w:sz w:val="24"/>
                <w:szCs w:val="24"/>
              </w:rPr>
              <w:drawing>
                <wp:inline distT="0" distB="0" distL="0" distR="0" wp14:anchorId="15FF4918" wp14:editId="32D1DD22">
                  <wp:extent cx="2971800" cy="2879725"/>
                  <wp:effectExtent l="0" t="0" r="0" b="1587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1AD7EF4D" w14:textId="77777777" w:rsidR="00770469" w:rsidRPr="00770469" w:rsidRDefault="00770469" w:rsidP="00770469">
      <w:pPr>
        <w:spacing w:after="0" w:line="276" w:lineRule="auto"/>
        <w:ind w:firstLine="567"/>
        <w:jc w:val="both"/>
        <w:rPr>
          <w:rFonts w:ascii="GHEA Grapalat" w:eastAsia="Calibri" w:hAnsi="GHEA Grapalat" w:cs="Sylfaen"/>
          <w:noProof/>
          <w:lang w:val="hy-AM"/>
        </w:rPr>
      </w:pPr>
    </w:p>
    <w:p w14:paraId="6101E0CA" w14:textId="1C5BC174" w:rsidR="00752EC7" w:rsidRPr="00752EC7" w:rsidRDefault="00752EC7" w:rsidP="00770469">
      <w:pPr>
        <w:spacing w:after="0" w:line="276" w:lineRule="auto"/>
        <w:ind w:firstLine="567"/>
        <w:jc w:val="both"/>
        <w:rPr>
          <w:rFonts w:ascii="GHEA Grapalat" w:eastAsia="Calibri" w:hAnsi="GHEA Grapalat" w:cs="Sylfaen"/>
          <w:noProof/>
          <w:lang w:val="hy-AM"/>
        </w:rPr>
      </w:pPr>
      <w:r w:rsidRPr="00752EC7">
        <w:rPr>
          <w:rFonts w:ascii="GHEA Grapalat" w:eastAsia="Times New Roman" w:hAnsi="GHEA Grapalat" w:cs="GHEA Grapalat"/>
          <w:b/>
          <w:i/>
          <w:noProof/>
          <w:lang w:val="hy-AM"/>
        </w:rPr>
        <w:t>Պետական աջակցության ծրագրերը:</w:t>
      </w:r>
      <w:r w:rsidRPr="00752EC7">
        <w:rPr>
          <w:rFonts w:ascii="GHEA Grapalat" w:eastAsia="Times New Roman" w:hAnsi="GHEA Grapalat" w:cs="GHEA Grapalat"/>
          <w:noProof/>
          <w:lang w:val="hy-AM"/>
        </w:rPr>
        <w:t xml:space="preserve"> </w:t>
      </w:r>
      <w:r w:rsidRPr="00752EC7">
        <w:rPr>
          <w:rFonts w:ascii="GHEA Grapalat" w:eastAsia="Calibri" w:hAnsi="GHEA Grapalat" w:cs="Sylfaen"/>
          <w:noProof/>
          <w:lang w:val="hy-AM"/>
        </w:rPr>
        <w:t>Տնտեսական ներուժի բարձրացմանը, առանձին ոլորտներում առաջացող հիմնախնդիրներին ուղղված հարկաբյուջետային աջակցության ծրագրերը 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w:t>
      </w:r>
      <w:r w:rsidRPr="00752EC7">
        <w:rPr>
          <w:rFonts w:ascii="GHEA Grapalat" w:eastAsia="GHEA Grapalat" w:hAnsi="GHEA Grapalat" w:cs="GHEA Grapalat"/>
          <w:noProof/>
          <w:lang w:val="hy-AM"/>
        </w:rPr>
        <w:t>շարունակական</w:t>
      </w:r>
      <w:r w:rsidRPr="00752EC7">
        <w:rPr>
          <w:rFonts w:ascii="GHEA Grapalat" w:eastAsia="Calibri" w:hAnsi="GHEA Grapalat" w:cs="Sylfaen"/>
          <w:noProof/>
          <w:lang w:val="hy-AM"/>
        </w:rPr>
        <w:t xml:space="preserve"> են եղել, իսկ ԼՂ-ից բռնի տեղահանված բնակչության կարիքները հասցեագրվել են պետական աջակցության գործիքներով: </w:t>
      </w:r>
    </w:p>
    <w:p w14:paraId="20198F42" w14:textId="62A75442"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Գիտելիքահենք, նորարարական տնտեսության և փոքր ու միջին ձեռնարկատիրության աջակցության ծրագրի տնտեսության արդիականացման պետական աջակցության</w:t>
      </w:r>
      <w:r w:rsidR="00163DAB">
        <w:rPr>
          <w:rFonts w:ascii="GHEA Grapalat" w:eastAsia="Calibri" w:hAnsi="GHEA Grapalat" w:cs="Sylfaen"/>
          <w:noProof/>
          <w:lang w:val="hy-AM"/>
        </w:rPr>
        <w:t xml:space="preserve"> և բ</w:t>
      </w:r>
      <w:r w:rsidR="00360A1D" w:rsidRPr="00360A1D">
        <w:rPr>
          <w:rFonts w:ascii="GHEA Grapalat" w:eastAsia="Calibri" w:hAnsi="GHEA Grapalat" w:cs="Sylfaen"/>
          <w:noProof/>
          <w:lang w:val="hy-AM"/>
        </w:rPr>
        <w:t>արձր որակավորում ունեցող մասնագետների ներգրավման նպատակով տնտեսավարողներին աջակցությ</w:t>
      </w:r>
      <w:r w:rsidR="00163DAB">
        <w:rPr>
          <w:rFonts w:ascii="GHEA Grapalat" w:eastAsia="Calibri" w:hAnsi="GHEA Grapalat" w:cs="Sylfaen"/>
          <w:noProof/>
          <w:lang w:val="hy-AM"/>
        </w:rPr>
        <w:t>ա</w:t>
      </w:r>
      <w:r w:rsidR="00360A1D" w:rsidRPr="00360A1D">
        <w:rPr>
          <w:rFonts w:ascii="GHEA Grapalat" w:eastAsia="Calibri" w:hAnsi="GHEA Grapalat" w:cs="Sylfaen"/>
          <w:noProof/>
          <w:lang w:val="hy-AM"/>
        </w:rPr>
        <w:t>ն</w:t>
      </w:r>
      <w:r w:rsidRPr="00752EC7">
        <w:rPr>
          <w:rFonts w:ascii="GHEA Grapalat" w:eastAsia="Calibri" w:hAnsi="GHEA Grapalat" w:cs="Sylfaen"/>
          <w:noProof/>
          <w:lang w:val="hy-AM"/>
        </w:rPr>
        <w:t xml:space="preserve"> միջոցառ</w:t>
      </w:r>
      <w:r w:rsidR="00163DAB">
        <w:rPr>
          <w:rFonts w:ascii="GHEA Grapalat" w:eastAsia="Calibri" w:hAnsi="GHEA Grapalat" w:cs="Sylfaen"/>
          <w:noProof/>
          <w:lang w:val="hy-AM"/>
        </w:rPr>
        <w:t>ու</w:t>
      </w:r>
      <w:r w:rsidRPr="00752EC7">
        <w:rPr>
          <w:rFonts w:ascii="GHEA Grapalat" w:eastAsia="Calibri" w:hAnsi="GHEA Grapalat" w:cs="Sylfaen"/>
          <w:noProof/>
          <w:lang w:val="hy-AM"/>
        </w:rPr>
        <w:t>մն</w:t>
      </w:r>
      <w:r w:rsidR="00163DAB">
        <w:rPr>
          <w:rFonts w:ascii="GHEA Grapalat" w:eastAsia="Calibri" w:hAnsi="GHEA Grapalat" w:cs="Sylfaen"/>
          <w:noProof/>
          <w:lang w:val="hy-AM"/>
        </w:rPr>
        <w:t>երի</w:t>
      </w:r>
      <w:r w:rsidRPr="00752EC7">
        <w:rPr>
          <w:rFonts w:ascii="GHEA Grapalat" w:eastAsia="Calibri" w:hAnsi="GHEA Grapalat" w:cs="Sylfaen"/>
          <w:noProof/>
          <w:lang w:val="hy-AM"/>
        </w:rPr>
        <w:t xml:space="preserve"> գծով ծախսերը կազմել են </w:t>
      </w:r>
      <w:r w:rsidR="00360A1D">
        <w:rPr>
          <w:rFonts w:ascii="GHEA Grapalat" w:eastAsia="Calibri" w:hAnsi="GHEA Grapalat" w:cs="Sylfaen"/>
          <w:noProof/>
          <w:lang w:val="hy-AM"/>
        </w:rPr>
        <w:t xml:space="preserve">շուրջ </w:t>
      </w:r>
      <w:r w:rsidRPr="00752EC7">
        <w:rPr>
          <w:rFonts w:ascii="GHEA Grapalat" w:eastAsia="Calibri" w:hAnsi="GHEA Grapalat" w:cs="Sylfaen"/>
          <w:noProof/>
          <w:lang w:val="hy-AM"/>
        </w:rPr>
        <w:t>1</w:t>
      </w:r>
      <w:r w:rsidR="00360A1D">
        <w:rPr>
          <w:rFonts w:ascii="GHEA Grapalat" w:eastAsia="Calibri" w:hAnsi="GHEA Grapalat" w:cs="Sylfaen"/>
          <w:noProof/>
          <w:lang w:val="hy-AM"/>
        </w:rPr>
        <w:t>9</w:t>
      </w:r>
      <w:r w:rsidR="00990E1F">
        <w:rPr>
          <w:rFonts w:ascii="GHEA Grapalat" w:eastAsia="Calibri" w:hAnsi="GHEA Grapalat" w:cs="Sylfaen"/>
          <w:noProof/>
          <w:lang w:val="hy-AM"/>
        </w:rPr>
        <w:t>.1</w:t>
      </w:r>
      <w:r w:rsidRPr="00752EC7">
        <w:rPr>
          <w:rFonts w:ascii="GHEA Grapalat" w:eastAsia="Calibri" w:hAnsi="GHEA Grapalat" w:cs="Sylfaen"/>
          <w:noProof/>
          <w:lang w:val="hy-AM"/>
        </w:rPr>
        <w:t xml:space="preserve"> մլրդ դրամ՝ նախորդ տարվա 8</w:t>
      </w:r>
      <w:r w:rsidRPr="009921AD">
        <w:rPr>
          <w:rFonts w:ascii="Cambria Math" w:eastAsia="Calibri" w:hAnsi="Cambria Math" w:cs="Cambria Math"/>
          <w:noProof/>
          <w:lang w:val="hy-AM"/>
        </w:rPr>
        <w:t>․</w:t>
      </w:r>
      <w:r w:rsidRPr="00AE4E2D">
        <w:rPr>
          <w:rFonts w:ascii="GHEA Grapalat" w:eastAsia="Calibri" w:hAnsi="GHEA Grapalat" w:cs="Sylfaen"/>
          <w:noProof/>
          <w:lang w:val="hy-AM"/>
        </w:rPr>
        <w:t>7 մլրդ դրամի դիմաց</w:t>
      </w:r>
      <w:r w:rsidRPr="00752EC7">
        <w:rPr>
          <w:rFonts w:ascii="GHEA Grapalat" w:eastAsia="Calibri" w:hAnsi="GHEA Grapalat" w:cs="Sylfaen"/>
          <w:noProof/>
          <w:lang w:val="hy-AM"/>
        </w:rPr>
        <w:t xml:space="preserve">, իսկ Բարձր տեխնոլոգիական արդյունաբերության էկոհամակարգի և շուկայի զարգացման ծրագրի «Պետական աջակցություն տեղեկատվական տեխնոլոգիաների ոլորտում </w:t>
      </w:r>
      <w:r w:rsidRPr="00752EC7">
        <w:rPr>
          <w:rFonts w:ascii="GHEA Grapalat" w:eastAsia="Calibri" w:hAnsi="GHEA Grapalat" w:cs="Sylfaen"/>
          <w:noProof/>
          <w:lang w:val="hy-AM"/>
        </w:rPr>
        <w:lastRenderedPageBreak/>
        <w:t xml:space="preserve">գործունեություն իրականացնող առևտրային կազմակերպություններին և անհատ ձեռնարկատերերին» միջոցառման շրջանակներում փաստացի ծախսերը կազմել են 6.5 մլրդ դրամ: </w:t>
      </w:r>
    </w:p>
    <w:p w14:paraId="0F99A3B5" w14:textId="5D348155"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Հաշվետու ժամանակահատվածում պետական աջակցության միջոցառումներով գյուղատնտեսության ոլորտի ծախսերը կազմել են</w:t>
      </w:r>
      <w:r w:rsidRPr="00752EC7">
        <w:rPr>
          <w:rFonts w:ascii="Times New Roman" w:eastAsia="Times New Roman" w:hAnsi="Times New Roman" w:cs="Times New Roman"/>
          <w:noProof/>
          <w:sz w:val="24"/>
          <w:szCs w:val="24"/>
          <w:lang w:val="hy-AM"/>
        </w:rPr>
        <w:t xml:space="preserve"> </w:t>
      </w:r>
      <w:r w:rsidRPr="00752EC7">
        <w:rPr>
          <w:rFonts w:ascii="GHEA Grapalat" w:eastAsia="Calibri" w:hAnsi="GHEA Grapalat" w:cs="Sylfaen"/>
          <w:noProof/>
          <w:lang w:val="hy-AM"/>
        </w:rPr>
        <w:t>41.</w:t>
      </w:r>
      <w:r w:rsidR="00341932" w:rsidRPr="00521BCD">
        <w:rPr>
          <w:rFonts w:ascii="GHEA Grapalat" w:eastAsia="Calibri" w:hAnsi="GHEA Grapalat" w:cs="Sylfaen"/>
          <w:noProof/>
          <w:lang w:val="hy-AM"/>
        </w:rPr>
        <w:t>1</w:t>
      </w:r>
      <w:r w:rsidRPr="00752EC7">
        <w:rPr>
          <w:rFonts w:ascii="GHEA Grapalat" w:eastAsia="Calibri" w:hAnsi="GHEA Grapalat" w:cs="Sylfaen"/>
          <w:noProof/>
          <w:lang w:val="hy-AM"/>
        </w:rPr>
        <w:t xml:space="preserve"> մլրդ դրամ, որում </w:t>
      </w:r>
      <w:r w:rsidRPr="00752EC7">
        <w:rPr>
          <w:rFonts w:ascii="GHEA Grapalat" w:eastAsia="GHEA Grapalat" w:hAnsi="GHEA Grapalat" w:cs="GHEA Grapalat"/>
          <w:noProof/>
          <w:lang w:val="hy-AM"/>
        </w:rPr>
        <w:t>գերակշռում</w:t>
      </w:r>
      <w:r w:rsidRPr="00752EC7">
        <w:rPr>
          <w:rFonts w:ascii="GHEA Grapalat" w:eastAsia="Calibri" w:hAnsi="GHEA Grapalat" w:cs="Sylfaen"/>
          <w:noProof/>
          <w:lang w:val="hy-AM"/>
        </w:rPr>
        <w:t xml:space="preserve"> են գյուղատնտեսության խթանման ծրագրերը (11.8 մլրդ դրամ) և գյուղատնտեսության արդիականացման ծրագրերը (24.4 մլրդ դրամ): </w:t>
      </w:r>
      <w:r w:rsidR="006351F2">
        <w:rPr>
          <w:rFonts w:ascii="GHEA Grapalat" w:eastAsia="Calibri" w:hAnsi="GHEA Grapalat" w:cs="Sylfaen"/>
          <w:noProof/>
          <w:lang w:val="hy-AM"/>
        </w:rPr>
        <w:t>Գ</w:t>
      </w:r>
      <w:r w:rsidRPr="00752EC7">
        <w:rPr>
          <w:rFonts w:ascii="GHEA Grapalat" w:eastAsia="Calibri" w:hAnsi="GHEA Grapalat" w:cs="Sylfaen"/>
          <w:noProof/>
          <w:lang w:val="hy-AM"/>
        </w:rPr>
        <w:t>յուղատնտեսության արդիականացման ծրագրում ՀՀ ինտենսիվ այգեգործության զարգացման նպատակով սուբսիդավորումը կազմել է 14.5 մլրդ դրամ՝ նախորդ տարվա համեմատ աճելով շուրջ 62.3%-ով: ՀՀ ագրոպարենային ոլորտի սարքավորումների լիզինգի աջակցության ծախսերը կազմել են 3.4 մլրդ դրամ, իսկ ՀՀ</w:t>
      </w:r>
      <w:r w:rsidR="00CC05D0">
        <w:rPr>
          <w:rFonts w:ascii="GHEA Grapalat" w:eastAsia="Calibri" w:hAnsi="GHEA Grapalat" w:cs="Sylfaen"/>
          <w:noProof/>
          <w:lang w:val="hy-AM"/>
        </w:rPr>
        <w:t xml:space="preserve"> </w:t>
      </w:r>
      <w:r w:rsidRPr="00752EC7">
        <w:rPr>
          <w:rFonts w:ascii="GHEA Grapalat" w:eastAsia="Calibri" w:hAnsi="GHEA Grapalat" w:cs="Sylfaen"/>
          <w:noProof/>
          <w:lang w:val="hy-AM"/>
        </w:rPr>
        <w:t>խաղողի, ժամանակակից տեխնոլոգիաներով մշակվող ինտենսիվ պտղատու այգիների և հատապտղանոցների հիմնման համար վարկային տոկոսադրույքների սուբսիդավորումը՝ 2.3 մլրդ դրամ: Գյուղատնտեսության խթանման ծրագրում գյուղատնտեսական վարկերի տոկոսադրույքների սուբսիդավորումը կազմել է 4.2 մլրդ դրամ, գյուղատնտեսական հումքի մթերումների (գնումների) նպատակով տրամադրվող վարկերի տոկոսադրույքների սուբսիդավորումը՝ 3.3 մլրդ դրամ, իսկ անասնաբուծության ճյուղում իրականացվող ներդրումային ծրագրերին աջակցությունը՝ 2.3 մլրդ դրամ:</w:t>
      </w:r>
    </w:p>
    <w:p w14:paraId="142A0A3C" w14:textId="69B9D308"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Calibri" w:hAnsi="GHEA Grapalat" w:cs="Sylfaen"/>
          <w:noProof/>
          <w:lang w:val="hy-AM"/>
        </w:rPr>
        <w:t>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ՀՀ պետական բյուջեից Լեռնային Ղարաբաղից բռնի տեղահանված անձանց պետական աջակցության չափը թիրախային ծրագրերով կազմել է 67.</w:t>
      </w:r>
      <w:r w:rsidR="00760D1E" w:rsidRPr="00521BCD">
        <w:rPr>
          <w:rFonts w:ascii="GHEA Grapalat" w:eastAsia="Calibri" w:hAnsi="GHEA Grapalat" w:cs="Sylfaen"/>
          <w:noProof/>
          <w:lang w:val="hy-AM"/>
        </w:rPr>
        <w:t>9</w:t>
      </w:r>
      <w:r w:rsidRPr="00752EC7">
        <w:rPr>
          <w:rFonts w:ascii="GHEA Grapalat" w:eastAsia="Calibri" w:hAnsi="GHEA Grapalat" w:cs="Sylfaen"/>
          <w:noProof/>
          <w:lang w:val="hy-AM"/>
        </w:rPr>
        <w:t xml:space="preserve"> մլրդ դրամ, որում կեցության և այլ ծախսերը հոգալու համար սոցիալական աջակցությունը կազմել է 58.3</w:t>
      </w:r>
      <w:r w:rsidRPr="00752EC7">
        <w:rPr>
          <w:rFonts w:ascii="Calibri" w:eastAsia="Calibri" w:hAnsi="Calibri" w:cs="Calibri"/>
          <w:noProof/>
          <w:lang w:val="hy-AM"/>
        </w:rPr>
        <w:t> </w:t>
      </w:r>
      <w:r w:rsidRPr="00752EC7">
        <w:rPr>
          <w:rFonts w:ascii="GHEA Grapalat" w:eastAsia="Calibri" w:hAnsi="GHEA Grapalat" w:cs="Sylfaen"/>
          <w:noProof/>
          <w:lang w:val="hy-AM"/>
        </w:rPr>
        <w:t xml:space="preserve">մլրդ դրամ, բնակարանային մատչելիության ապահովման պետական աջակցության գծով տրամադրվել է շուրջ 4.7 մլրդ դրամ, իսկ </w:t>
      </w:r>
      <w:r w:rsidRPr="00752EC7">
        <w:rPr>
          <w:rFonts w:ascii="GHEA Grapalat" w:eastAsia="GHEA Grapalat" w:hAnsi="GHEA Grapalat" w:cs="GHEA Grapalat"/>
          <w:noProof/>
          <w:lang w:val="hy-AM"/>
        </w:rPr>
        <w:t>առաջնային</w:t>
      </w:r>
      <w:r w:rsidRPr="00752EC7">
        <w:rPr>
          <w:rFonts w:ascii="GHEA Grapalat" w:eastAsia="Calibri" w:hAnsi="GHEA Grapalat" w:cs="Sylfaen"/>
          <w:noProof/>
          <w:lang w:val="hy-AM"/>
        </w:rPr>
        <w:t xml:space="preserve"> սպառողական ծախսերը հոգալու համար սոցիալական աջակցությունը կազմել է 2.1 մլրդ դրամ: Ընդ որում, Լեռնային Ղարաբաղից բռնի տեղահանված անձանց ինտեգրման գործընթացում աստիճանաբար թիրախային աջակցության ծրագրերը փոխարինվում են ՀՀ կառավարության սոցիալական աջակցության հիմնական գործիքներով։ </w:t>
      </w:r>
    </w:p>
    <w:p w14:paraId="7D692432" w14:textId="2344AA64"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GHEA Grapalat" w:hAnsi="GHEA Grapalat" w:cs="GHEA Grapalat"/>
          <w:b/>
          <w:i/>
          <w:noProof/>
          <w:lang w:val="hy-AM"/>
        </w:rPr>
        <w:t>Պետական բյուջեի պակասուրդը և կառավարության պարտքը:</w:t>
      </w:r>
      <w:r w:rsidRPr="00752EC7">
        <w:rPr>
          <w:rFonts w:ascii="GHEA Grapalat" w:eastAsia="GHEA Grapalat" w:hAnsi="GHEA Grapalat" w:cs="GHEA Grapalat"/>
          <w:noProof/>
          <w:lang w:val="hy-AM"/>
        </w:rPr>
        <w:t xml:space="preserve"> </w:t>
      </w:r>
      <w:bookmarkStart w:id="3" w:name="_Hlk131890248"/>
      <w:r w:rsidRPr="00752EC7">
        <w:rPr>
          <w:rFonts w:ascii="GHEA Grapalat" w:eastAsia="Calibri" w:hAnsi="GHEA Grapalat" w:cs="Sylfaen"/>
          <w:noProof/>
          <w:lang w:val="hy-AM"/>
        </w:rPr>
        <w:t>2024</w:t>
      </w:r>
      <w:r w:rsidR="00007792">
        <w:rPr>
          <w:rFonts w:ascii="GHEA Grapalat" w:eastAsia="Calibri" w:hAnsi="GHEA Grapalat" w:cs="Sylfaen"/>
          <w:noProof/>
          <w:lang w:val="hy-AM"/>
        </w:rPr>
        <w:t>թ.</w:t>
      </w:r>
      <w:r w:rsidRPr="00752EC7">
        <w:rPr>
          <w:rFonts w:ascii="GHEA Grapalat" w:eastAsia="Calibri" w:hAnsi="GHEA Grapalat" w:cs="Sylfaen"/>
          <w:noProof/>
          <w:lang w:val="hy-AM"/>
        </w:rPr>
        <w:t xml:space="preserve"> բարձր տնտեսական աճի և պարտքի կայունության ապահովմանն ուղղված հարկաբյուջետային քաղաքականության արդյունքում պետական բյուջեի պակասուրդը պահպանվել է ցածր մակարդակում, ինչն օժանդակել է նաև կառավարության պարտքի բեռի՝ 50%-ից ցածր մակարդակում պահպանման նպատակի իրագործմանը։ </w:t>
      </w:r>
      <w:bookmarkEnd w:id="3"/>
      <w:r w:rsidRPr="00752EC7">
        <w:rPr>
          <w:rFonts w:ascii="GHEA Grapalat" w:eastAsia="Calibri" w:hAnsi="GHEA Grapalat" w:cs="Sylfaen"/>
          <w:noProof/>
          <w:lang w:val="hy-AM"/>
        </w:rPr>
        <w:t>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պետական բյուջեի պակասուրդը կազմել է 376.1 մլրդ դրամ՝ նախորդ տարվա 188.9 մլրդ դրամի համեմատ, իսկ պետական բյուջեի պակասուրդ/ՀՆԱ ցուցանիշը կազմել է 3.7%՝ նախորդ տարվա</w:t>
      </w:r>
      <w:r w:rsidR="003D265B">
        <w:rPr>
          <w:rFonts w:ascii="GHEA Grapalat" w:eastAsia="Calibri" w:hAnsi="GHEA Grapalat" w:cs="Sylfaen"/>
          <w:noProof/>
          <w:lang w:val="hy-AM"/>
        </w:rPr>
        <w:t xml:space="preserve"> 2</w:t>
      </w:r>
      <w:r w:rsidRPr="00752EC7">
        <w:rPr>
          <w:rFonts w:ascii="GHEA Grapalat" w:eastAsia="Calibri" w:hAnsi="GHEA Grapalat" w:cs="Sylfaen"/>
          <w:noProof/>
          <w:lang w:val="hy-AM"/>
        </w:rPr>
        <w:t>% ցուցանիշի համեմատությամբ: ՀՀ կառավարության պարտք/ՀՆԱ ցուցանիշը կազմել է 48.3%՝ նախորդ տարվա նկատմամբ նվազելով 0</w:t>
      </w:r>
      <w:r w:rsidRPr="00752EC7">
        <w:rPr>
          <w:rFonts w:ascii="Cambria Math" w:eastAsia="Calibri" w:hAnsi="Cambria Math" w:cs="Cambria Math"/>
          <w:noProof/>
          <w:lang w:val="hy-AM"/>
        </w:rPr>
        <w:t>․</w:t>
      </w:r>
      <w:r w:rsidRPr="00752EC7">
        <w:rPr>
          <w:rFonts w:ascii="GHEA Grapalat" w:eastAsia="Calibri" w:hAnsi="GHEA Grapalat" w:cs="Sylfaen"/>
          <w:noProof/>
          <w:lang w:val="hy-AM"/>
        </w:rPr>
        <w:t>1 տոկոսային կետով: Այնուամենայնիվ, պետք է հաշվի առնել, որ 2024թ. ծախսերում ներառված են նաև Լեռնային Ղարաբաղից բռնի տեղահանված բնակչության աջակցության միջոցառումների համար նախատեսված ծախսերը, որոնք հարկաբյուջետային տեսանկյունից</w:t>
      </w:r>
      <w:r w:rsidR="001623D7">
        <w:rPr>
          <w:rFonts w:ascii="GHEA Grapalat" w:eastAsia="Calibri" w:hAnsi="GHEA Grapalat" w:cs="Sylfaen"/>
          <w:noProof/>
          <w:lang w:val="hy-AM"/>
        </w:rPr>
        <w:t xml:space="preserve"> </w:t>
      </w:r>
      <w:r w:rsidR="001623D7" w:rsidRPr="00521BCD">
        <w:rPr>
          <w:rFonts w:ascii="GHEA Grapalat" w:eastAsia="Calibri" w:hAnsi="GHEA Grapalat" w:cs="Sylfaen"/>
          <w:noProof/>
          <w:lang w:val="hy-AM"/>
        </w:rPr>
        <w:t>(</w:t>
      </w:r>
      <w:r w:rsidR="001623D7">
        <w:rPr>
          <w:rFonts w:ascii="GHEA Grapalat" w:eastAsia="Calibri" w:hAnsi="GHEA Grapalat" w:cs="Sylfaen"/>
          <w:noProof/>
          <w:lang w:val="hy-AM"/>
        </w:rPr>
        <w:t>մասնավորապես՝ համախառն ֆինանսավորման կարիքի</w:t>
      </w:r>
      <w:r w:rsidR="001623D7" w:rsidRPr="00521BCD">
        <w:rPr>
          <w:rFonts w:ascii="GHEA Grapalat" w:eastAsia="Calibri" w:hAnsi="GHEA Grapalat" w:cs="Sylfaen"/>
          <w:noProof/>
          <w:lang w:val="hy-AM"/>
        </w:rPr>
        <w:t>)</w:t>
      </w:r>
      <w:r w:rsidRPr="00752EC7">
        <w:rPr>
          <w:rFonts w:ascii="GHEA Grapalat" w:eastAsia="Calibri" w:hAnsi="GHEA Grapalat" w:cs="Sylfaen"/>
          <w:noProof/>
          <w:lang w:val="hy-AM"/>
        </w:rPr>
        <w:t xml:space="preserve"> համադրելի են նախկինում պակասուրդի ֆինանսավորման աղբյուրներում արտացոլվող Լեռնային Ղարաբաղին ուղղվող միջպետական վարկին։ Վերջինս 2023</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կազմել էր 15</w:t>
      </w:r>
      <w:r w:rsidR="00B95BB1" w:rsidRPr="00521BCD">
        <w:rPr>
          <w:rFonts w:ascii="GHEA Grapalat" w:eastAsia="Calibri" w:hAnsi="GHEA Grapalat" w:cs="Sylfaen"/>
          <w:noProof/>
          <w:lang w:val="hy-AM"/>
        </w:rPr>
        <w:t>1</w:t>
      </w:r>
      <w:r w:rsidRPr="00752EC7">
        <w:rPr>
          <w:rFonts w:ascii="GHEA Grapalat" w:eastAsia="Calibri" w:hAnsi="GHEA Grapalat" w:cs="Sylfaen"/>
          <w:noProof/>
          <w:lang w:val="hy-AM"/>
        </w:rPr>
        <w:t xml:space="preserve"> </w:t>
      </w:r>
      <w:r w:rsidRPr="001623D7">
        <w:rPr>
          <w:rFonts w:ascii="GHEA Grapalat" w:eastAsia="Calibri" w:hAnsi="GHEA Grapalat" w:cs="Sylfaen"/>
          <w:noProof/>
          <w:lang w:val="hy-AM"/>
        </w:rPr>
        <w:t>մլրդ դրամ կամ ՀՆԱ</w:t>
      </w:r>
      <w:r w:rsidR="00717A7B">
        <w:rPr>
          <w:rFonts w:ascii="GHEA Grapalat" w:eastAsia="Calibri" w:hAnsi="GHEA Grapalat" w:cs="Sylfaen"/>
          <w:noProof/>
          <w:lang w:val="hy-AM"/>
        </w:rPr>
        <w:t xml:space="preserve"> 1.6%</w:t>
      </w:r>
      <w:r w:rsidR="00717A7B">
        <w:rPr>
          <w:rFonts w:ascii="Calibri" w:eastAsia="Calibri" w:hAnsi="Calibri" w:cs="Calibri"/>
          <w:noProof/>
          <w:lang w:val="hy-AM"/>
        </w:rPr>
        <w:noBreakHyphen/>
      </w:r>
      <w:r w:rsidRPr="001623D7">
        <w:rPr>
          <w:rFonts w:ascii="GHEA Grapalat" w:eastAsia="Calibri" w:hAnsi="GHEA Grapalat" w:cs="Sylfaen"/>
          <w:noProof/>
          <w:lang w:val="hy-AM"/>
        </w:rPr>
        <w:t>ը, որը ճշգրտելու պարագայում պակասուրդ/ՀՆԱ ցուցանիշի աճը կկազմի 0.1</w:t>
      </w:r>
      <w:r w:rsidR="003D265B" w:rsidRPr="002570E5">
        <w:rPr>
          <w:rFonts w:ascii="GHEA Grapalat" w:eastAsia="Calibri" w:hAnsi="GHEA Grapalat" w:cs="Sylfaen"/>
          <w:noProof/>
          <w:lang w:val="hy-AM"/>
        </w:rPr>
        <w:t xml:space="preserve"> տոկոս</w:t>
      </w:r>
      <w:r w:rsidRPr="001623D7">
        <w:rPr>
          <w:rFonts w:ascii="GHEA Grapalat" w:eastAsia="Calibri" w:hAnsi="GHEA Grapalat" w:cs="Sylfaen"/>
          <w:noProof/>
          <w:lang w:val="hy-AM"/>
        </w:rPr>
        <w:t>ային կետ։</w:t>
      </w:r>
      <w:r w:rsidRPr="00752EC7">
        <w:rPr>
          <w:rFonts w:ascii="GHEA Grapalat" w:eastAsia="Calibri" w:hAnsi="GHEA Grapalat" w:cs="Sylfaen"/>
          <w:noProof/>
          <w:lang w:val="hy-AM"/>
        </w:rPr>
        <w:t xml:space="preserve"> </w:t>
      </w:r>
    </w:p>
    <w:p w14:paraId="459E86C1" w14:textId="32712ACC" w:rsidR="00752EC7" w:rsidRDefault="00752EC7" w:rsidP="00360A1D">
      <w:pPr>
        <w:spacing w:after="0" w:line="276" w:lineRule="auto"/>
        <w:ind w:firstLine="567"/>
        <w:jc w:val="both"/>
        <w:rPr>
          <w:rFonts w:ascii="Cambria Math" w:eastAsia="Calibri" w:hAnsi="Cambria Math" w:cs="Sylfaen"/>
          <w:noProof/>
          <w:lang w:val="hy-AM"/>
        </w:rPr>
      </w:pPr>
      <w:r w:rsidRPr="00752EC7">
        <w:rPr>
          <w:rFonts w:ascii="GHEA Grapalat" w:eastAsia="Calibri" w:hAnsi="GHEA Grapalat" w:cs="Sylfaen"/>
          <w:noProof/>
          <w:lang w:val="hy-AM"/>
        </w:rPr>
        <w:t xml:space="preserve">Կառավարության պարտք/ՀՆԱ ցուցանիշի վրա աճի ուղղությամբ ներգործել են պարտքի իրական տոկոսադրույքի աճը, առաջնային պակասուրդը և զուտ վարկավորումը՝ </w:t>
      </w:r>
      <w:r w:rsidRPr="009921AD">
        <w:rPr>
          <w:rFonts w:ascii="GHEA Grapalat" w:eastAsia="Calibri" w:hAnsi="GHEA Grapalat" w:cs="Sylfaen"/>
          <w:noProof/>
          <w:lang w:val="hy-AM"/>
        </w:rPr>
        <w:t>համապատասխանաբար 2</w:t>
      </w:r>
      <w:r w:rsidRPr="006D46D3">
        <w:rPr>
          <w:rFonts w:ascii="Cambria Math" w:eastAsia="Calibri" w:hAnsi="Cambria Math" w:cs="Cambria Math"/>
          <w:noProof/>
          <w:lang w:val="hy-AM"/>
        </w:rPr>
        <w:t>․</w:t>
      </w:r>
      <w:r w:rsidRPr="00AE4E2D">
        <w:rPr>
          <w:rFonts w:ascii="GHEA Grapalat" w:eastAsia="Calibri" w:hAnsi="GHEA Grapalat" w:cs="Sylfaen"/>
          <w:noProof/>
          <w:lang w:val="hy-AM"/>
        </w:rPr>
        <w:t>7, 0</w:t>
      </w:r>
      <w:r w:rsidRPr="009921AD">
        <w:rPr>
          <w:rFonts w:ascii="Cambria Math" w:eastAsia="Calibri" w:hAnsi="Cambria Math" w:cs="Cambria Math"/>
          <w:noProof/>
          <w:lang w:val="hy-AM"/>
        </w:rPr>
        <w:t>․</w:t>
      </w:r>
      <w:r w:rsidRPr="00AE4E2D">
        <w:rPr>
          <w:rFonts w:ascii="GHEA Grapalat" w:eastAsia="Calibri" w:hAnsi="GHEA Grapalat" w:cs="Sylfaen"/>
          <w:noProof/>
          <w:lang w:val="hy-AM"/>
        </w:rPr>
        <w:t>6</w:t>
      </w:r>
      <w:r w:rsidRPr="00752EC7">
        <w:rPr>
          <w:rFonts w:ascii="Cambria Math" w:eastAsia="Calibri" w:hAnsi="Cambria Math" w:cs="Sylfaen"/>
          <w:noProof/>
          <w:lang w:val="hy-AM"/>
        </w:rPr>
        <w:t xml:space="preserve"> </w:t>
      </w:r>
      <w:r w:rsidRPr="00AE4E2D">
        <w:rPr>
          <w:rFonts w:ascii="GHEA Grapalat" w:eastAsia="Calibri" w:hAnsi="GHEA Grapalat" w:cs="Sylfaen"/>
          <w:noProof/>
          <w:lang w:val="hy-AM"/>
        </w:rPr>
        <w:t>և 0</w:t>
      </w:r>
      <w:r w:rsidRPr="009921AD">
        <w:rPr>
          <w:rFonts w:ascii="Cambria Math" w:eastAsia="Calibri" w:hAnsi="Cambria Math" w:cs="Cambria Math"/>
          <w:noProof/>
          <w:lang w:val="hy-AM"/>
        </w:rPr>
        <w:t>․</w:t>
      </w:r>
      <w:r w:rsidRPr="00AE4E2D">
        <w:rPr>
          <w:rFonts w:ascii="GHEA Grapalat" w:eastAsia="Calibri" w:hAnsi="GHEA Grapalat" w:cs="Sylfaen"/>
          <w:noProof/>
          <w:lang w:val="hy-AM"/>
        </w:rPr>
        <w:t xml:space="preserve">1 տոկոսային կետով։ Միաժամանակ, իրական ՀՆԱ աճը և </w:t>
      </w:r>
      <w:r w:rsidRPr="00AE4E2D">
        <w:rPr>
          <w:rFonts w:ascii="GHEA Grapalat" w:eastAsia="Calibri" w:hAnsi="GHEA Grapalat" w:cs="Sylfaen"/>
          <w:noProof/>
          <w:lang w:val="hy-AM"/>
        </w:rPr>
        <w:lastRenderedPageBreak/>
        <w:t xml:space="preserve">փոխարժեքի արժևորումը </w:t>
      </w:r>
      <w:r w:rsidR="00500487" w:rsidRPr="00AE4E2D">
        <w:rPr>
          <w:rFonts w:ascii="GHEA Grapalat" w:eastAsia="Calibri" w:hAnsi="GHEA Grapalat" w:cs="Sylfaen"/>
          <w:noProof/>
          <w:lang w:val="hy-AM"/>
        </w:rPr>
        <w:t>ներգործ</w:t>
      </w:r>
      <w:r w:rsidRPr="00AE4E2D">
        <w:rPr>
          <w:rFonts w:ascii="GHEA Grapalat" w:eastAsia="Calibri" w:hAnsi="GHEA Grapalat" w:cs="Sylfaen"/>
          <w:noProof/>
          <w:lang w:val="hy-AM"/>
        </w:rPr>
        <w:t>ել են նվազման ուղղությամբ՝ համապատասխանաբար 2.7 և 1</w:t>
      </w:r>
      <w:r w:rsidRPr="009921AD">
        <w:rPr>
          <w:rFonts w:ascii="Cambria Math" w:eastAsia="Calibri" w:hAnsi="Cambria Math" w:cs="Cambria Math"/>
          <w:noProof/>
          <w:lang w:val="hy-AM"/>
        </w:rPr>
        <w:t>․</w:t>
      </w:r>
      <w:r w:rsidRPr="00AE4E2D">
        <w:rPr>
          <w:rFonts w:ascii="GHEA Grapalat" w:eastAsia="Calibri" w:hAnsi="GHEA Grapalat" w:cs="Sylfaen"/>
          <w:noProof/>
          <w:lang w:val="hy-AM"/>
        </w:rPr>
        <w:t>1 տոկոսային կետով։</w:t>
      </w:r>
      <w:r w:rsidR="00CC05D0">
        <w:rPr>
          <w:rFonts w:ascii="Cambria Math" w:eastAsia="Calibri" w:hAnsi="Cambria Math" w:cs="Sylfaen"/>
          <w:noProof/>
          <w:lang w:val="hy-AM"/>
        </w:rPr>
        <w:t xml:space="preserve"> </w:t>
      </w:r>
    </w:p>
    <w:p w14:paraId="3A83961F" w14:textId="77777777" w:rsidR="00DD21CA" w:rsidRPr="00752EC7" w:rsidRDefault="00DD21CA" w:rsidP="00360A1D">
      <w:pPr>
        <w:spacing w:after="0" w:line="276" w:lineRule="auto"/>
        <w:ind w:firstLine="567"/>
        <w:jc w:val="both"/>
        <w:rPr>
          <w:rFonts w:ascii="GHEA Grapalat" w:eastAsia="Calibri" w:hAnsi="GHEA Grapalat" w:cs="Sylfaen"/>
          <w:noProof/>
          <w:lang w:val="hy-AM"/>
        </w:rPr>
      </w:pPr>
    </w:p>
    <w:p w14:paraId="6DA465DD" w14:textId="7A67FB06" w:rsidR="00752EC7" w:rsidRPr="003D265B" w:rsidRDefault="003D265B" w:rsidP="005B55D6">
      <w:pPr>
        <w:keepNext/>
        <w:keepLines/>
        <w:tabs>
          <w:tab w:val="left" w:pos="1701"/>
          <w:tab w:val="left" w:pos="1985"/>
        </w:tabs>
        <w:autoSpaceDE w:val="0"/>
        <w:autoSpaceDN w:val="0"/>
        <w:adjustRightInd w:val="0"/>
        <w:spacing w:after="0" w:line="276" w:lineRule="auto"/>
        <w:jc w:val="both"/>
        <w:rPr>
          <w:rFonts w:ascii="GHEA Grapalat" w:eastAsia="Calibri" w:hAnsi="GHEA Grapalat" w:cs="GHEA Grapalat"/>
          <w:b/>
          <w:sz w:val="18"/>
          <w:szCs w:val="18"/>
          <w:lang w:val="hy-AM"/>
        </w:rPr>
      </w:pPr>
      <w:r w:rsidRPr="003D265B">
        <w:rPr>
          <w:rFonts w:ascii="GHEA Grapalat" w:eastAsia="Times New Roman" w:hAnsi="GHEA Grapalat" w:cs="Times New Roman"/>
          <w:b/>
          <w:sz w:val="18"/>
          <w:szCs w:val="18"/>
          <w:lang w:val="hy-AM"/>
        </w:rPr>
        <w:t xml:space="preserve">Գծապատկեր </w:t>
      </w:r>
      <w:r w:rsidR="00C90FCE" w:rsidRPr="003D265B">
        <w:rPr>
          <w:rFonts w:ascii="GHEA Grapalat" w:eastAsia="Times New Roman" w:hAnsi="GHEA Grapalat" w:cs="Times New Roman"/>
          <w:b/>
          <w:sz w:val="18"/>
          <w:szCs w:val="18"/>
          <w:lang w:val="hy-AM"/>
        </w:rPr>
        <w:t>5</w:t>
      </w:r>
      <w:r w:rsidR="00C90FCE" w:rsidRPr="003D265B">
        <w:rPr>
          <w:rFonts w:ascii="Cambria Math" w:eastAsia="Times New Roman" w:hAnsi="Cambria Math" w:cs="Cambria Math"/>
          <w:b/>
          <w:sz w:val="18"/>
          <w:szCs w:val="18"/>
          <w:lang w:val="hy-AM"/>
        </w:rPr>
        <w:t>․</w:t>
      </w:r>
      <w:r w:rsidR="00C90FCE" w:rsidRPr="003D265B">
        <w:rPr>
          <w:rFonts w:ascii="GHEA Grapalat" w:eastAsia="Times New Roman" w:hAnsi="GHEA Grapalat" w:cs="Times New Roman"/>
          <w:b/>
          <w:sz w:val="18"/>
          <w:szCs w:val="18"/>
          <w:lang w:val="hy-AM"/>
        </w:rPr>
        <w:t xml:space="preserve"> </w:t>
      </w:r>
      <w:r w:rsidR="00752EC7" w:rsidRPr="003D265B">
        <w:rPr>
          <w:rFonts w:ascii="GHEA Grapalat" w:eastAsia="Calibri" w:hAnsi="GHEA Grapalat" w:cs="Times New Roman"/>
          <w:b/>
          <w:sz w:val="18"/>
          <w:szCs w:val="18"/>
          <w:lang w:val="hy-AM"/>
        </w:rPr>
        <w:t xml:space="preserve">ՀՀ </w:t>
      </w:r>
      <w:r w:rsidR="00752EC7" w:rsidRPr="003D265B">
        <w:rPr>
          <w:rFonts w:ascii="GHEA Grapalat" w:eastAsia="Times New Roman" w:hAnsi="GHEA Grapalat" w:cs="Times New Roman"/>
          <w:b/>
          <w:sz w:val="18"/>
          <w:szCs w:val="18"/>
          <w:lang w:val="hy-AM"/>
        </w:rPr>
        <w:t>կառավարության</w:t>
      </w:r>
      <w:r w:rsidR="00752EC7" w:rsidRPr="003D265B">
        <w:rPr>
          <w:rFonts w:ascii="GHEA Grapalat" w:eastAsia="Calibri" w:hAnsi="GHEA Grapalat" w:cs="Times New Roman"/>
          <w:b/>
          <w:sz w:val="18"/>
          <w:szCs w:val="18"/>
          <w:lang w:val="hy-AM"/>
        </w:rPr>
        <w:t xml:space="preserve"> պարտքի և պակասուրդի դինամիկան</w:t>
      </w:r>
    </w:p>
    <w:p w14:paraId="56E4C1A0" w14:textId="77777777" w:rsidR="00752EC7" w:rsidRPr="00752EC7" w:rsidRDefault="00752EC7" w:rsidP="00360A1D">
      <w:pPr>
        <w:autoSpaceDE w:val="0"/>
        <w:autoSpaceDN w:val="0"/>
        <w:adjustRightInd w:val="0"/>
        <w:spacing w:after="0" w:line="276" w:lineRule="auto"/>
        <w:rPr>
          <w:rFonts w:ascii="GHEA Grapalat" w:eastAsia="Times New Roman" w:hAnsi="GHEA Grapalat" w:cs="Times New Roman"/>
          <w:noProof/>
          <w:lang w:val="hy-AM"/>
        </w:rPr>
      </w:pPr>
      <w:r w:rsidRPr="00752EC7">
        <w:rPr>
          <w:rFonts w:ascii="GHEA Grapalat" w:eastAsia="Times New Roman" w:hAnsi="GHEA Grapalat" w:cs="Times New Roman"/>
          <w:noProof/>
        </w:rPr>
        <w:drawing>
          <wp:inline distT="0" distB="0" distL="0" distR="0" wp14:anchorId="128BA698" wp14:editId="4FB9BE34">
            <wp:extent cx="3200400" cy="2581275"/>
            <wp:effectExtent l="0" t="0" r="0" b="9525"/>
            <wp:docPr id="7" name="Object 4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752EC7">
        <w:rPr>
          <w:rFonts w:ascii="GHEA Grapalat" w:eastAsia="Times New Roman" w:hAnsi="GHEA Grapalat" w:cs="Times New Roman"/>
          <w:noProof/>
          <w:lang w:val="hy-AM"/>
        </w:rPr>
        <w:t xml:space="preserve"> </w:t>
      </w:r>
      <w:r w:rsidRPr="00752EC7">
        <w:rPr>
          <w:rFonts w:ascii="GHEA Grapalat" w:eastAsia="Times New Roman" w:hAnsi="GHEA Grapalat" w:cs="Times New Roman"/>
          <w:noProof/>
        </w:rPr>
        <w:drawing>
          <wp:inline distT="0" distB="0" distL="0" distR="0" wp14:anchorId="41510432" wp14:editId="4281409B">
            <wp:extent cx="3219450" cy="2554605"/>
            <wp:effectExtent l="0" t="0" r="0" b="17145"/>
            <wp:docPr id="8" name="Object 5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5055860" w14:textId="77777777" w:rsidR="003D265B" w:rsidRPr="003D265B" w:rsidRDefault="003D265B" w:rsidP="003D265B">
      <w:pPr>
        <w:spacing w:after="0" w:line="276" w:lineRule="auto"/>
        <w:ind w:firstLine="567"/>
        <w:jc w:val="both"/>
        <w:rPr>
          <w:rFonts w:ascii="GHEA Grapalat" w:eastAsia="Calibri" w:hAnsi="GHEA Grapalat" w:cs="Sylfaen"/>
          <w:noProof/>
          <w:lang w:val="hy-AM"/>
        </w:rPr>
      </w:pPr>
    </w:p>
    <w:p w14:paraId="252CCF50" w14:textId="78A15E38" w:rsidR="00752EC7" w:rsidRPr="005B55D6" w:rsidRDefault="005B55D6" w:rsidP="005B55D6">
      <w:pPr>
        <w:keepNext/>
        <w:keepLines/>
        <w:tabs>
          <w:tab w:val="left" w:pos="1701"/>
          <w:tab w:val="left" w:pos="1985"/>
        </w:tabs>
        <w:autoSpaceDE w:val="0"/>
        <w:autoSpaceDN w:val="0"/>
        <w:adjustRightInd w:val="0"/>
        <w:spacing w:after="0" w:line="276" w:lineRule="auto"/>
        <w:jc w:val="both"/>
        <w:rPr>
          <w:rFonts w:ascii="GHEA Grapalat" w:eastAsia="Calibri" w:hAnsi="GHEA Grapalat" w:cs="GHEA Grapalat"/>
          <w:b/>
          <w:sz w:val="18"/>
          <w:szCs w:val="18"/>
          <w:lang w:val="hy-AM"/>
        </w:rPr>
      </w:pPr>
      <w:r>
        <w:rPr>
          <w:rFonts w:ascii="GHEA Grapalat" w:eastAsia="Times New Roman" w:hAnsi="GHEA Grapalat" w:cs="Times New Roman"/>
          <w:b/>
          <w:sz w:val="18"/>
          <w:szCs w:val="18"/>
          <w:lang w:val="hy-AM"/>
        </w:rPr>
        <w:t xml:space="preserve">Գծապատկեր </w:t>
      </w:r>
      <w:r w:rsidR="00C90FCE" w:rsidRPr="005B55D6">
        <w:rPr>
          <w:rFonts w:ascii="GHEA Grapalat" w:eastAsia="Times New Roman" w:hAnsi="GHEA Grapalat" w:cs="Times New Roman"/>
          <w:b/>
          <w:sz w:val="18"/>
          <w:szCs w:val="18"/>
          <w:lang w:val="hy-AM"/>
        </w:rPr>
        <w:t>6</w:t>
      </w:r>
      <w:r w:rsidR="00C90FCE" w:rsidRPr="005B55D6">
        <w:rPr>
          <w:rFonts w:ascii="Cambria Math" w:eastAsia="Times New Roman" w:hAnsi="Cambria Math" w:cs="Cambria Math"/>
          <w:b/>
          <w:sz w:val="18"/>
          <w:szCs w:val="18"/>
          <w:lang w:val="hy-AM"/>
        </w:rPr>
        <w:t>․</w:t>
      </w:r>
      <w:r w:rsidR="00C90FCE" w:rsidRPr="005B55D6">
        <w:rPr>
          <w:rFonts w:ascii="GHEA Grapalat" w:eastAsia="Times New Roman" w:hAnsi="GHEA Grapalat" w:cs="Times New Roman"/>
          <w:b/>
          <w:sz w:val="18"/>
          <w:szCs w:val="18"/>
          <w:lang w:val="hy-AM"/>
        </w:rPr>
        <w:t xml:space="preserve"> </w:t>
      </w:r>
      <w:r w:rsidR="00752EC7" w:rsidRPr="005B55D6">
        <w:rPr>
          <w:rFonts w:ascii="GHEA Grapalat" w:eastAsia="Times New Roman" w:hAnsi="GHEA Grapalat" w:cs="Times New Roman"/>
          <w:b/>
          <w:sz w:val="18"/>
          <w:szCs w:val="18"/>
          <w:lang w:val="hy-AM"/>
        </w:rPr>
        <w:t>Կառավարության</w:t>
      </w:r>
      <w:r w:rsidR="00752EC7" w:rsidRPr="005B55D6">
        <w:rPr>
          <w:rFonts w:ascii="GHEA Grapalat" w:eastAsia="Calibri" w:hAnsi="GHEA Grapalat" w:cs="Times New Roman"/>
          <w:b/>
          <w:sz w:val="18"/>
          <w:szCs w:val="18"/>
          <w:lang w:val="hy-AM"/>
        </w:rPr>
        <w:t xml:space="preserve"> պարտքի բեռի փոփոխությանը նպաստող գործոնները, տոկոսային կետ</w:t>
      </w:r>
    </w:p>
    <w:p w14:paraId="4319FBE4" w14:textId="77777777" w:rsidR="00752EC7" w:rsidRPr="00752EC7" w:rsidRDefault="00752EC7" w:rsidP="00360A1D">
      <w:pPr>
        <w:autoSpaceDE w:val="0"/>
        <w:autoSpaceDN w:val="0"/>
        <w:adjustRightInd w:val="0"/>
        <w:spacing w:after="0" w:line="276" w:lineRule="auto"/>
        <w:rPr>
          <w:rFonts w:ascii="GHEA Grapalat" w:eastAsia="Times New Roman" w:hAnsi="GHEA Grapalat" w:cs="Times New Roman"/>
          <w:noProof/>
          <w:lang w:val="hy-AM"/>
        </w:rPr>
      </w:pPr>
      <w:r w:rsidRPr="00752EC7">
        <w:rPr>
          <w:rFonts w:ascii="GHEA Grapalat" w:eastAsia="Times New Roman" w:hAnsi="GHEA Grapalat" w:cs="Times New Roman"/>
          <w:noProof/>
        </w:rPr>
        <w:drawing>
          <wp:inline distT="0" distB="0" distL="0" distR="0" wp14:anchorId="08EEEC9C" wp14:editId="5E3B1CD5">
            <wp:extent cx="6438900" cy="2571750"/>
            <wp:effectExtent l="0" t="0" r="0" b="0"/>
            <wp:docPr id="9" name="Chart 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6EFB793" w14:textId="77777777" w:rsidR="005B55D6" w:rsidRPr="005B55D6" w:rsidRDefault="005B55D6" w:rsidP="00360A1D">
      <w:pPr>
        <w:spacing w:after="0" w:line="276" w:lineRule="auto"/>
        <w:ind w:firstLine="567"/>
        <w:jc w:val="both"/>
        <w:rPr>
          <w:rFonts w:ascii="GHEA Grapalat" w:eastAsia="Calibri" w:hAnsi="GHEA Grapalat" w:cs="Sylfaen"/>
          <w:noProof/>
          <w:lang w:val="hy-AM"/>
        </w:rPr>
      </w:pPr>
    </w:p>
    <w:p w14:paraId="177F84B2" w14:textId="1745AC4D" w:rsidR="00752EC7" w:rsidRPr="00752EC7" w:rsidRDefault="00752EC7" w:rsidP="00360A1D">
      <w:pPr>
        <w:spacing w:after="0" w:line="276" w:lineRule="auto"/>
        <w:ind w:firstLine="567"/>
        <w:jc w:val="both"/>
        <w:rPr>
          <w:rFonts w:ascii="GHEA Grapalat" w:eastAsia="Calibri" w:hAnsi="GHEA Grapalat" w:cs="Sylfaen"/>
          <w:noProof/>
          <w:lang w:val="hy-AM"/>
        </w:rPr>
      </w:pPr>
      <w:r w:rsidRPr="00752EC7">
        <w:rPr>
          <w:rFonts w:ascii="GHEA Grapalat" w:eastAsia="GHEA Grapalat" w:hAnsi="GHEA Grapalat" w:cs="GHEA Grapalat"/>
          <w:b/>
          <w:i/>
          <w:noProof/>
          <w:lang w:val="hy-AM"/>
        </w:rPr>
        <w:t>Հարկաբյուջետային կանոններ:</w:t>
      </w:r>
      <w:r w:rsidRPr="00752EC7">
        <w:rPr>
          <w:rFonts w:ascii="GHEA Grapalat" w:eastAsia="GHEA Grapalat" w:hAnsi="GHEA Grapalat" w:cs="GHEA Grapalat"/>
          <w:noProof/>
          <w:lang w:val="hy-AM"/>
        </w:rPr>
        <w:t xml:space="preserve"> </w:t>
      </w:r>
      <w:bookmarkStart w:id="4" w:name="_Hlk131890375"/>
      <w:r w:rsidRPr="00752EC7">
        <w:rPr>
          <w:rFonts w:ascii="GHEA Grapalat" w:eastAsia="Calibri" w:hAnsi="GHEA Grapalat" w:cs="Sylfaen"/>
          <w:noProof/>
          <w:lang w:val="hy-AM"/>
        </w:rPr>
        <w:t>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հարկաբյուջետային քաղաքականությունը իրականացվել է հարկաբյուջետային կանոնների առավել մեղմ սահմանափակման պայմաններում, քանի որ կառավարության պարտք/ՀՆԱ ցուցանիշը 2022թ</w:t>
      </w:r>
      <w:r w:rsidRPr="00752EC7">
        <w:rPr>
          <w:rFonts w:ascii="Cambria Math" w:eastAsia="Calibri" w:hAnsi="Cambria Math" w:cs="Cambria Math"/>
          <w:noProof/>
          <w:lang w:val="hy-AM"/>
        </w:rPr>
        <w:t>․</w:t>
      </w:r>
      <w:r w:rsidRPr="00752EC7">
        <w:rPr>
          <w:rFonts w:ascii="GHEA Grapalat" w:eastAsia="Calibri" w:hAnsi="GHEA Grapalat" w:cs="Sylfaen"/>
          <w:noProof/>
          <w:lang w:val="hy-AM"/>
        </w:rPr>
        <w:t xml:space="preserve"> ցածր է գտնվել 50% շեմից, որի պայմաններում ընթացիկ առաջնային ծախսերի աճի տեմպի վրա սահմանափակումը կիրառելի չէ։ Սակայն կիրառելի է կառավարության պարտք/ՀՆԱ 40-50% մակարդակում պետական բյուջեի պակասուրդի՝ կապիտալ ծախսերով սահմանափակվածության կանոնը (պետական ֆինանսների «ոսկե կանոն»), որը շարունակել է պահպանվել։ Այսպես, 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 xml:space="preserve">պետական բյուջեի կապիտալ ծախսերը գերազանցել են պետական բյուջեի պակասուրդը շուրջ 181.7 մլրդ դրամով, ինչն ամրապնդում է երկարաժամկետ հարկաբյուջետային կայունությունը՝ երաշխավորելով, որ կառավարության պարտքի ավելացմանն առաջանցիկ հանրային ենթակառուցվածքներ ձևավորվեն՝ կայուն դարձնելով զուտ պարտքի դիրքը։ </w:t>
      </w:r>
    </w:p>
    <w:bookmarkEnd w:id="4"/>
    <w:p w14:paraId="12124F33" w14:textId="3BC7C09F" w:rsidR="00752EC7" w:rsidRPr="00163DAB" w:rsidRDefault="00E806F6" w:rsidP="00E806F6">
      <w:pPr>
        <w:keepNext/>
        <w:keepLines/>
        <w:tabs>
          <w:tab w:val="left" w:pos="1701"/>
          <w:tab w:val="left" w:pos="1985"/>
        </w:tabs>
        <w:autoSpaceDE w:val="0"/>
        <w:autoSpaceDN w:val="0"/>
        <w:adjustRightInd w:val="0"/>
        <w:spacing w:after="0" w:line="276" w:lineRule="auto"/>
        <w:jc w:val="both"/>
        <w:rPr>
          <w:rFonts w:ascii="GHEA Grapalat" w:eastAsia="Calibri" w:hAnsi="GHEA Grapalat" w:cs="GHEA Grapalat"/>
          <w:b/>
          <w:sz w:val="18"/>
          <w:szCs w:val="18"/>
          <w:lang w:val="hy-AM"/>
        </w:rPr>
      </w:pPr>
      <w:r>
        <w:rPr>
          <w:rFonts w:ascii="GHEA Grapalat" w:eastAsia="Times New Roman" w:hAnsi="GHEA Grapalat" w:cs="Times New Roman"/>
          <w:b/>
          <w:sz w:val="18"/>
          <w:szCs w:val="18"/>
          <w:lang w:val="hy-AM"/>
        </w:rPr>
        <w:lastRenderedPageBreak/>
        <w:t xml:space="preserve">Գծապատկեր </w:t>
      </w:r>
      <w:r w:rsidR="00C90FCE" w:rsidRPr="00163DAB">
        <w:rPr>
          <w:rFonts w:ascii="GHEA Grapalat" w:eastAsia="Times New Roman" w:hAnsi="GHEA Grapalat" w:cs="Times New Roman"/>
          <w:b/>
          <w:sz w:val="18"/>
          <w:szCs w:val="18"/>
          <w:lang w:val="hy-AM"/>
        </w:rPr>
        <w:t>7</w:t>
      </w:r>
      <w:r w:rsidR="00C90FCE" w:rsidRPr="00163DAB">
        <w:rPr>
          <w:rFonts w:ascii="Times New Roman" w:eastAsia="Times New Roman" w:hAnsi="Times New Roman" w:cs="Times New Roman"/>
          <w:b/>
          <w:sz w:val="18"/>
          <w:szCs w:val="18"/>
          <w:lang w:val="hy-AM"/>
        </w:rPr>
        <w:t>․</w:t>
      </w:r>
      <w:r w:rsidR="00C90FCE" w:rsidRPr="00163DAB">
        <w:rPr>
          <w:rFonts w:ascii="GHEA Grapalat" w:eastAsia="Times New Roman" w:hAnsi="GHEA Grapalat" w:cs="Times New Roman"/>
          <w:b/>
          <w:sz w:val="18"/>
          <w:szCs w:val="18"/>
          <w:lang w:val="hy-AM"/>
        </w:rPr>
        <w:t xml:space="preserve"> </w:t>
      </w:r>
      <w:r w:rsidR="00752EC7" w:rsidRPr="00163DAB">
        <w:rPr>
          <w:rFonts w:ascii="GHEA Grapalat" w:eastAsia="Times New Roman" w:hAnsi="GHEA Grapalat" w:cs="Times New Roman"/>
          <w:b/>
          <w:sz w:val="18"/>
          <w:szCs w:val="18"/>
          <w:lang w:val="hy-AM"/>
        </w:rPr>
        <w:t>Հարկաբյուջետային</w:t>
      </w:r>
      <w:r w:rsidR="00752EC7" w:rsidRPr="00163DAB">
        <w:rPr>
          <w:rFonts w:ascii="GHEA Grapalat" w:eastAsia="Calibri" w:hAnsi="GHEA Grapalat" w:cs="Times New Roman"/>
          <w:b/>
          <w:sz w:val="18"/>
          <w:szCs w:val="18"/>
          <w:lang w:val="hy-AM"/>
        </w:rPr>
        <w:t xml:space="preserve"> կանոնները և դրանցից շեղումը 20</w:t>
      </w:r>
      <w:r w:rsidR="00B95BB1" w:rsidRPr="00163DAB">
        <w:rPr>
          <w:rFonts w:ascii="GHEA Grapalat" w:eastAsia="Calibri" w:hAnsi="GHEA Grapalat" w:cs="Times New Roman"/>
          <w:b/>
          <w:sz w:val="18"/>
          <w:szCs w:val="18"/>
          <w:lang w:val="hy-AM"/>
        </w:rPr>
        <w:t>20</w:t>
      </w:r>
      <w:r w:rsidR="00752EC7" w:rsidRPr="00163DAB">
        <w:rPr>
          <w:rFonts w:ascii="GHEA Grapalat" w:eastAsia="Calibri" w:hAnsi="GHEA Grapalat" w:cs="Times New Roman"/>
          <w:b/>
          <w:sz w:val="18"/>
          <w:szCs w:val="18"/>
          <w:lang w:val="hy-AM"/>
        </w:rPr>
        <w:t>-202</w:t>
      </w:r>
      <w:r w:rsidR="00B95BB1" w:rsidRPr="00163DAB">
        <w:rPr>
          <w:rFonts w:ascii="GHEA Grapalat" w:eastAsia="Calibri" w:hAnsi="GHEA Grapalat" w:cs="Times New Roman"/>
          <w:b/>
          <w:sz w:val="18"/>
          <w:szCs w:val="18"/>
          <w:lang w:val="hy-AM"/>
        </w:rPr>
        <w:t>4</w:t>
      </w:r>
      <w:r w:rsidR="00752EC7" w:rsidRPr="00163DAB">
        <w:rPr>
          <w:rFonts w:ascii="GHEA Grapalat" w:eastAsia="Calibri" w:hAnsi="GHEA Grapalat" w:cs="Times New Roman"/>
          <w:b/>
          <w:sz w:val="18"/>
          <w:szCs w:val="18"/>
          <w:lang w:val="hy-AM"/>
        </w:rPr>
        <w:t>թթ.</w:t>
      </w:r>
    </w:p>
    <w:p w14:paraId="63750349" w14:textId="77777777" w:rsidR="00752EC7" w:rsidRPr="00752EC7" w:rsidRDefault="00752EC7" w:rsidP="00360A1D">
      <w:pPr>
        <w:tabs>
          <w:tab w:val="left" w:pos="1035"/>
        </w:tabs>
        <w:spacing w:after="0" w:line="276" w:lineRule="auto"/>
        <w:rPr>
          <w:rFonts w:ascii="GHEA Grapalat" w:eastAsia="Times New Roman" w:hAnsi="GHEA Grapalat" w:cs="Times New Roman"/>
          <w:noProof/>
          <w:sz w:val="24"/>
          <w:szCs w:val="24"/>
          <w:lang w:val="hy-AM"/>
        </w:rPr>
      </w:pPr>
      <w:r w:rsidRPr="00752EC7">
        <w:rPr>
          <w:rFonts w:ascii="GHEA Grapalat" w:eastAsia="Times New Roman" w:hAnsi="GHEA Grapalat" w:cs="Times New Roman"/>
          <w:noProof/>
          <w:sz w:val="24"/>
          <w:szCs w:val="24"/>
        </w:rPr>
        <w:drawing>
          <wp:inline distT="0" distB="0" distL="0" distR="0" wp14:anchorId="50437918" wp14:editId="510CBF32">
            <wp:extent cx="3209925" cy="2752725"/>
            <wp:effectExtent l="0" t="0" r="9525" b="9525"/>
            <wp:docPr id="10" name="Object 5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752EC7">
        <w:rPr>
          <w:rFonts w:ascii="GHEA Grapalat" w:eastAsia="Times New Roman" w:hAnsi="GHEA Grapalat" w:cs="Times New Roman"/>
          <w:noProof/>
          <w:sz w:val="24"/>
          <w:szCs w:val="24"/>
          <w:lang w:val="hy-AM"/>
        </w:rPr>
        <w:t xml:space="preserve"> </w:t>
      </w:r>
      <w:r w:rsidRPr="00752EC7">
        <w:rPr>
          <w:rFonts w:ascii="GHEA Grapalat" w:eastAsia="Times New Roman" w:hAnsi="GHEA Grapalat" w:cs="Times New Roman"/>
          <w:noProof/>
          <w:sz w:val="24"/>
          <w:szCs w:val="24"/>
        </w:rPr>
        <w:drawing>
          <wp:inline distT="0" distB="0" distL="0" distR="0" wp14:anchorId="7DC3E5B4" wp14:editId="6CA39AA8">
            <wp:extent cx="3190875" cy="2752725"/>
            <wp:effectExtent l="0" t="0" r="9525" b="9525"/>
            <wp:docPr id="11" name="Object 5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80C868E" w14:textId="77777777" w:rsidR="00CC05D0" w:rsidRPr="00CC05D0" w:rsidRDefault="00CC05D0" w:rsidP="00CC05D0">
      <w:pPr>
        <w:spacing w:after="0" w:line="276" w:lineRule="auto"/>
        <w:ind w:firstLine="567"/>
        <w:jc w:val="both"/>
        <w:rPr>
          <w:rFonts w:ascii="GHEA Grapalat" w:eastAsia="Calibri" w:hAnsi="GHEA Grapalat" w:cs="Sylfaen"/>
          <w:noProof/>
          <w:lang w:val="hy-AM"/>
        </w:rPr>
      </w:pPr>
    </w:p>
    <w:p w14:paraId="022DF5BD" w14:textId="28476660" w:rsidR="00752EC7" w:rsidRDefault="00752EC7" w:rsidP="00CC05D0">
      <w:pPr>
        <w:spacing w:after="0" w:line="276" w:lineRule="auto"/>
        <w:ind w:firstLine="567"/>
        <w:jc w:val="both"/>
        <w:rPr>
          <w:rFonts w:ascii="GHEA Grapalat" w:eastAsia="Calibri" w:hAnsi="GHEA Grapalat" w:cs="Sylfaen"/>
          <w:noProof/>
          <w:lang w:val="hy-AM"/>
        </w:rPr>
      </w:pPr>
      <w:r w:rsidRPr="00752EC7">
        <w:rPr>
          <w:rFonts w:ascii="GHEA Grapalat" w:eastAsia="GHEA Grapalat" w:hAnsi="GHEA Grapalat" w:cs="GHEA Grapalat"/>
          <w:b/>
          <w:i/>
          <w:noProof/>
          <w:lang w:val="hy-AM"/>
        </w:rPr>
        <w:t>Հարկաբյուջետային դիրքը և ազդակը:</w:t>
      </w:r>
      <w:r w:rsidRPr="00752EC7">
        <w:rPr>
          <w:rFonts w:ascii="GHEA Grapalat" w:eastAsia="GHEA Grapalat" w:hAnsi="GHEA Grapalat" w:cs="GHEA Grapalat"/>
          <w:noProof/>
          <w:lang w:val="hy-AM"/>
        </w:rPr>
        <w:t xml:space="preserve"> </w:t>
      </w:r>
      <w:r w:rsidRPr="00752EC7">
        <w:rPr>
          <w:rFonts w:ascii="GHEA Grapalat" w:eastAsia="Calibri" w:hAnsi="GHEA Grapalat" w:cs="Sylfaen"/>
          <w:noProof/>
          <w:lang w:val="hy-AM"/>
        </w:rPr>
        <w:t>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պետական բյուջեի ընդհանուր պակասուրդը գտնվել է նախորդ 10 տարիների միջին ցուցանիշին մոտ, իսկ առաջնային պակասուրդը</w:t>
      </w:r>
      <w:r w:rsidR="005870C8" w:rsidRPr="002570E5">
        <w:rPr>
          <w:rFonts w:ascii="GHEA Grapalat" w:eastAsia="Calibri" w:hAnsi="GHEA Grapalat" w:cs="Sylfaen"/>
          <w:noProof/>
          <w:lang w:val="hy-AM"/>
        </w:rPr>
        <w:t>`</w:t>
      </w:r>
      <w:r w:rsidRPr="00752EC7">
        <w:rPr>
          <w:rFonts w:ascii="GHEA Grapalat" w:eastAsia="Calibri" w:hAnsi="GHEA Grapalat" w:cs="Sylfaen"/>
          <w:noProof/>
          <w:lang w:val="hy-AM"/>
        </w:rPr>
        <w:t xml:space="preserve"> ցածր վերոնշյալից՝ արտացոլելով կառավարության կողմից նախանշված՝ պարտքի բեռի ապահով մակարդակում պահպանման քաղաքականությունը։ Արդյունքում, համախառն պահանջարկի վրա հարկաբյուջետային քաղաքականությունը 2024</w:t>
      </w:r>
      <w:r w:rsidR="00007792">
        <w:rPr>
          <w:rFonts w:ascii="GHEA Grapalat" w:eastAsia="Calibri" w:hAnsi="GHEA Grapalat" w:cs="Sylfaen"/>
          <w:noProof/>
          <w:lang w:val="hy-AM"/>
        </w:rPr>
        <w:t xml:space="preserve">թ. </w:t>
      </w:r>
      <w:r w:rsidRPr="00752EC7">
        <w:rPr>
          <w:rFonts w:ascii="GHEA Grapalat" w:eastAsia="Calibri" w:hAnsi="GHEA Grapalat" w:cs="Sylfaen"/>
          <w:noProof/>
          <w:lang w:val="hy-AM"/>
        </w:rPr>
        <w:t>նախորդ տարվա նկատմամբ ունեցել է թույլ խթանող (չեզոքին մոտ) ազդեցություն (0.5)` պայմանավորված եկամուտների և ծախսերի չեզոք ազդեցություններով: Պետական բյուջեում պլանավորված՝ հարկաբյուջետային քաղաքականության չեզոք դիրքի համեմատությամբ թույլ խթանող դիրքի ձևավորումը գրանցվել է պետական բյուջեի հարկային եկամուտների աճի տեմպերի դանդաղման և պլանավորվածի համեմատ ծախսերի թերակատարման պայմաններում, ինչի արդյունքում եկամուտների ազդակը պլանավորված զսպողի փոխարեն, իսկ ծախսերի ազդակը՝ պլանավորված խթանողի փոխարեն դրսևորվել են չեզոք ուղղություններով։</w:t>
      </w:r>
    </w:p>
    <w:p w14:paraId="55E7CFBF" w14:textId="77777777" w:rsidR="005870C8" w:rsidRDefault="005870C8" w:rsidP="00CC05D0">
      <w:pPr>
        <w:spacing w:after="0" w:line="276" w:lineRule="auto"/>
        <w:ind w:firstLine="567"/>
        <w:jc w:val="both"/>
        <w:rPr>
          <w:rFonts w:ascii="GHEA Grapalat" w:eastAsia="Calibri" w:hAnsi="GHEA Grapalat" w:cs="Sylfaen"/>
          <w:noProof/>
          <w:lang w:val="hy-AM"/>
        </w:rPr>
      </w:pPr>
    </w:p>
    <w:p w14:paraId="795DB26F" w14:textId="0517F654" w:rsidR="00752EC7" w:rsidRPr="00163DAB" w:rsidRDefault="00752EC7" w:rsidP="005870C8">
      <w:pPr>
        <w:spacing w:after="0" w:line="276" w:lineRule="auto"/>
        <w:jc w:val="both"/>
        <w:rPr>
          <w:rFonts w:ascii="GHEA Grapalat" w:eastAsia="GHEA Grapalat" w:hAnsi="GHEA Grapalat" w:cs="GHEA Grapalat"/>
          <w:b/>
          <w:noProof/>
          <w:sz w:val="18"/>
          <w:szCs w:val="18"/>
          <w:lang w:val="hy-AM"/>
        </w:rPr>
      </w:pPr>
      <w:r w:rsidRPr="00163DAB">
        <w:rPr>
          <w:rFonts w:ascii="GHEA Grapalat" w:eastAsia="GHEA Grapalat" w:hAnsi="GHEA Grapalat" w:cs="GHEA Grapalat"/>
          <w:b/>
          <w:noProof/>
          <w:sz w:val="18"/>
          <w:szCs w:val="18"/>
          <w:lang w:val="hy-AM"/>
        </w:rPr>
        <w:t xml:space="preserve">Աղյուսակ </w:t>
      </w:r>
      <w:r w:rsidR="00F80230">
        <w:rPr>
          <w:rFonts w:ascii="GHEA Grapalat" w:eastAsia="GHEA Grapalat" w:hAnsi="GHEA Grapalat" w:cs="GHEA Grapalat"/>
          <w:b/>
          <w:noProof/>
          <w:sz w:val="18"/>
          <w:szCs w:val="18"/>
        </w:rPr>
        <w:t>1</w:t>
      </w:r>
      <w:r w:rsidRPr="00163DAB">
        <w:rPr>
          <w:rFonts w:ascii="GHEA Grapalat" w:eastAsia="GHEA Grapalat" w:hAnsi="GHEA Grapalat" w:cs="GHEA Grapalat"/>
          <w:b/>
          <w:noProof/>
          <w:sz w:val="18"/>
          <w:szCs w:val="18"/>
          <w:lang w:val="hy-AM"/>
        </w:rPr>
        <w:t>. Հարկաբյուջետային ազդակի փոփոխությունները</w:t>
      </w:r>
    </w:p>
    <w:tbl>
      <w:tblPr>
        <w:tblW w:w="10564" w:type="dxa"/>
        <w:jc w:val="center"/>
        <w:tblBorders>
          <w:top w:val="single" w:sz="4" w:space="0" w:color="95B3D7"/>
          <w:left w:val="single" w:sz="4" w:space="0" w:color="95B3D7"/>
          <w:bottom w:val="single" w:sz="4" w:space="0" w:color="95B3D7"/>
          <w:right w:val="single" w:sz="4" w:space="0" w:color="95B3D7"/>
          <w:insideH w:val="single" w:sz="4" w:space="0" w:color="95B3D7"/>
        </w:tblBorders>
        <w:tblLook w:val="04A0" w:firstRow="1" w:lastRow="0" w:firstColumn="1" w:lastColumn="0" w:noHBand="0" w:noVBand="1"/>
      </w:tblPr>
      <w:tblGrid>
        <w:gridCol w:w="3215"/>
        <w:gridCol w:w="2067"/>
        <w:gridCol w:w="2194"/>
        <w:gridCol w:w="1543"/>
        <w:gridCol w:w="1545"/>
      </w:tblGrid>
      <w:tr w:rsidR="00163DAB" w:rsidRPr="00163DAB" w14:paraId="1F7AF1FE" w14:textId="77777777" w:rsidTr="005870C8">
        <w:trPr>
          <w:trHeight w:val="365"/>
          <w:jc w:val="center"/>
        </w:trPr>
        <w:tc>
          <w:tcPr>
            <w:tcW w:w="3215" w:type="dxa"/>
            <w:tcBorders>
              <w:top w:val="single" w:sz="4" w:space="0" w:color="000000" w:themeColor="text1"/>
              <w:left w:val="single" w:sz="4" w:space="0" w:color="000000" w:themeColor="text1"/>
              <w:bottom w:val="nil"/>
              <w:right w:val="single" w:sz="4" w:space="0" w:color="000000" w:themeColor="text1"/>
            </w:tcBorders>
            <w:shd w:val="clear" w:color="auto" w:fill="D9E2F3" w:themeFill="accent5" w:themeFillTint="33"/>
            <w:noWrap/>
            <w:hideMark/>
          </w:tcPr>
          <w:p w14:paraId="1A9348C8" w14:textId="77777777" w:rsidR="00752EC7" w:rsidRPr="00F80230" w:rsidRDefault="00752EC7" w:rsidP="00360A1D">
            <w:pPr>
              <w:spacing w:after="0" w:line="276" w:lineRule="auto"/>
              <w:rPr>
                <w:rFonts w:ascii="GHEA Grapalat" w:eastAsia="Calibri" w:hAnsi="GHEA Grapalat" w:cs="Times New Roman"/>
                <w:b/>
                <w:bCs/>
                <w:noProof/>
                <w:sz w:val="20"/>
                <w:szCs w:val="20"/>
                <w:lang w:val="hy-AM"/>
              </w:rPr>
            </w:pPr>
            <w:r w:rsidRPr="00F80230">
              <w:rPr>
                <w:rFonts w:ascii="Calibri" w:eastAsia="Calibri" w:hAnsi="Calibri" w:cs="Calibri"/>
                <w:b/>
                <w:bCs/>
                <w:noProof/>
                <w:sz w:val="20"/>
                <w:szCs w:val="20"/>
                <w:lang w:val="hy-AM"/>
              </w:rPr>
              <w:t> </w:t>
            </w:r>
          </w:p>
        </w:tc>
        <w:tc>
          <w:tcPr>
            <w:tcW w:w="580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1F5BEF42" w14:textId="77777777" w:rsidR="00752EC7" w:rsidRPr="00F80230" w:rsidRDefault="00752EC7" w:rsidP="00360A1D">
            <w:pPr>
              <w:spacing w:after="0" w:line="276" w:lineRule="auto"/>
              <w:jc w:val="center"/>
              <w:rPr>
                <w:rFonts w:ascii="GHEA Grapalat" w:eastAsia="Calibri" w:hAnsi="GHEA Grapalat" w:cs="Times New Roman"/>
                <w:bCs/>
                <w:noProof/>
                <w:sz w:val="18"/>
                <w:szCs w:val="18"/>
                <w:lang w:val="hy-AM"/>
              </w:rPr>
            </w:pPr>
            <w:r w:rsidRPr="00F80230">
              <w:rPr>
                <w:rFonts w:ascii="GHEA Grapalat" w:eastAsia="Calibri" w:hAnsi="GHEA Grapalat" w:cs="Times New Roman"/>
                <w:bCs/>
                <w:noProof/>
                <w:sz w:val="18"/>
                <w:szCs w:val="18"/>
                <w:lang w:val="hy-AM"/>
              </w:rPr>
              <w:t>2024</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noWrap/>
            <w:hideMark/>
          </w:tcPr>
          <w:p w14:paraId="24F67F36" w14:textId="77777777" w:rsidR="00752EC7" w:rsidRPr="00F80230" w:rsidRDefault="00752EC7" w:rsidP="00360A1D">
            <w:pPr>
              <w:spacing w:after="0" w:line="276" w:lineRule="auto"/>
              <w:jc w:val="center"/>
              <w:rPr>
                <w:rFonts w:ascii="GHEA Grapalat" w:eastAsia="Calibri" w:hAnsi="GHEA Grapalat" w:cs="Times New Roman"/>
                <w:bCs/>
                <w:noProof/>
                <w:sz w:val="18"/>
                <w:szCs w:val="18"/>
                <w:lang w:val="hy-AM"/>
              </w:rPr>
            </w:pPr>
            <w:r w:rsidRPr="00F80230">
              <w:rPr>
                <w:rFonts w:ascii="GHEA Grapalat" w:eastAsia="Calibri" w:hAnsi="GHEA Grapalat" w:cs="Times New Roman"/>
                <w:bCs/>
                <w:noProof/>
                <w:sz w:val="18"/>
                <w:szCs w:val="18"/>
                <w:lang w:val="hy-AM"/>
              </w:rPr>
              <w:t>Շեղում</w:t>
            </w:r>
          </w:p>
        </w:tc>
      </w:tr>
      <w:tr w:rsidR="00163DAB" w:rsidRPr="00163DAB" w14:paraId="72F6D09E" w14:textId="77777777" w:rsidTr="00F80230">
        <w:trPr>
          <w:trHeight w:val="899"/>
          <w:jc w:val="center"/>
        </w:trPr>
        <w:tc>
          <w:tcPr>
            <w:tcW w:w="3215" w:type="dxa"/>
            <w:tcBorders>
              <w:top w:val="nil"/>
              <w:left w:val="single" w:sz="4" w:space="0" w:color="000000" w:themeColor="text1"/>
              <w:bottom w:val="single" w:sz="4" w:space="0" w:color="000000" w:themeColor="text1"/>
              <w:right w:val="single" w:sz="4" w:space="0" w:color="000000" w:themeColor="text1"/>
            </w:tcBorders>
            <w:shd w:val="clear" w:color="auto" w:fill="D9E2F3" w:themeFill="accent5" w:themeFillTint="33"/>
            <w:noWrap/>
            <w:hideMark/>
          </w:tcPr>
          <w:p w14:paraId="4AA259AA" w14:textId="77777777" w:rsidR="00752EC7" w:rsidRPr="00F80230" w:rsidRDefault="00752EC7" w:rsidP="00360A1D">
            <w:pPr>
              <w:spacing w:after="0" w:line="276" w:lineRule="auto"/>
              <w:rPr>
                <w:rFonts w:ascii="GHEA Grapalat" w:eastAsia="Calibri" w:hAnsi="GHEA Grapalat" w:cs="Times New Roman"/>
                <w:b/>
                <w:bCs/>
                <w:noProof/>
                <w:sz w:val="20"/>
                <w:szCs w:val="20"/>
                <w:lang w:val="hy-AM"/>
              </w:rPr>
            </w:pPr>
            <w:r w:rsidRPr="00F80230">
              <w:rPr>
                <w:rFonts w:ascii="Calibri" w:eastAsia="Calibri" w:hAnsi="Calibri" w:cs="Calibri"/>
                <w:b/>
                <w:bCs/>
                <w:noProof/>
                <w:sz w:val="20"/>
                <w:szCs w:val="20"/>
                <w:lang w:val="hy-AM"/>
              </w:rPr>
              <w:t> </w:t>
            </w:r>
          </w:p>
        </w:tc>
        <w:tc>
          <w:tcPr>
            <w:tcW w:w="20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5156B808" w14:textId="451185A1" w:rsidR="00752EC7" w:rsidRPr="00F80230" w:rsidRDefault="00752EC7" w:rsidP="00360A1D">
            <w:pPr>
              <w:spacing w:after="0" w:line="276" w:lineRule="auto"/>
              <w:jc w:val="center"/>
              <w:rPr>
                <w:rFonts w:ascii="GHEA Grapalat" w:eastAsia="Calibri" w:hAnsi="GHEA Grapalat" w:cs="Times New Roman"/>
                <w:noProof/>
                <w:sz w:val="18"/>
                <w:szCs w:val="18"/>
                <w:lang w:val="hy-AM"/>
              </w:rPr>
            </w:pPr>
            <w:r w:rsidRPr="00F80230">
              <w:rPr>
                <w:rFonts w:ascii="GHEA Grapalat" w:eastAsia="Calibri" w:hAnsi="GHEA Grapalat" w:cs="Times New Roman"/>
                <w:noProof/>
                <w:sz w:val="18"/>
                <w:szCs w:val="18"/>
                <w:lang w:val="hy-AM"/>
              </w:rPr>
              <w:t>Կանխատեսում (2024թ</w:t>
            </w:r>
            <w:r w:rsidRPr="00F80230">
              <w:rPr>
                <w:rFonts w:ascii="Cambria Math" w:eastAsia="Calibri" w:hAnsi="Cambria Math" w:cs="Cambria Math"/>
                <w:noProof/>
                <w:sz w:val="18"/>
                <w:szCs w:val="18"/>
                <w:lang w:val="hy-AM"/>
              </w:rPr>
              <w:t>․</w:t>
            </w:r>
            <w:r w:rsidR="00CC05D0" w:rsidRPr="00F80230">
              <w:rPr>
                <w:rFonts w:ascii="GHEA Grapalat" w:eastAsia="Calibri" w:hAnsi="GHEA Grapalat" w:cs="Cambria Math"/>
                <w:noProof/>
                <w:sz w:val="18"/>
                <w:szCs w:val="18"/>
                <w:lang w:val="hy-AM"/>
              </w:rPr>
              <w:t xml:space="preserve"> </w:t>
            </w:r>
            <w:r w:rsidRPr="00F80230">
              <w:rPr>
                <w:rFonts w:ascii="GHEA Grapalat" w:eastAsia="Calibri" w:hAnsi="GHEA Grapalat" w:cs="Times New Roman"/>
                <w:noProof/>
                <w:sz w:val="18"/>
                <w:szCs w:val="18"/>
                <w:lang w:val="hy-AM"/>
              </w:rPr>
              <w:t>բյուջե)</w:t>
            </w:r>
          </w:p>
        </w:tc>
        <w:tc>
          <w:tcPr>
            <w:tcW w:w="21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148B81C7" w14:textId="77777777" w:rsidR="00F80230" w:rsidRPr="00F80230" w:rsidRDefault="00752EC7" w:rsidP="00F80230">
            <w:pPr>
              <w:spacing w:after="0" w:line="276" w:lineRule="auto"/>
              <w:jc w:val="center"/>
              <w:rPr>
                <w:rFonts w:ascii="GHEA Grapalat" w:eastAsia="Calibri" w:hAnsi="GHEA Grapalat" w:cs="Times New Roman"/>
                <w:noProof/>
                <w:sz w:val="18"/>
                <w:szCs w:val="18"/>
                <w:lang w:val="hy-AM"/>
              </w:rPr>
            </w:pPr>
            <w:r w:rsidRPr="00F80230">
              <w:rPr>
                <w:rFonts w:ascii="GHEA Grapalat" w:eastAsia="Calibri" w:hAnsi="GHEA Grapalat" w:cs="Times New Roman"/>
                <w:noProof/>
                <w:sz w:val="18"/>
                <w:szCs w:val="18"/>
                <w:lang w:val="hy-AM"/>
              </w:rPr>
              <w:t>Կանխատեսման վերանայում</w:t>
            </w:r>
          </w:p>
          <w:p w14:paraId="06DEEC9E" w14:textId="3864F804" w:rsidR="00752EC7" w:rsidRPr="00F80230" w:rsidRDefault="00752EC7" w:rsidP="00F80230">
            <w:pPr>
              <w:spacing w:after="0" w:line="276" w:lineRule="auto"/>
              <w:jc w:val="center"/>
              <w:rPr>
                <w:rFonts w:ascii="GHEA Grapalat" w:eastAsia="Calibri" w:hAnsi="GHEA Grapalat" w:cs="Times New Roman"/>
                <w:noProof/>
                <w:sz w:val="18"/>
                <w:szCs w:val="18"/>
                <w:lang w:val="hy-AM"/>
              </w:rPr>
            </w:pPr>
            <w:r w:rsidRPr="00F80230">
              <w:rPr>
                <w:rFonts w:ascii="GHEA Grapalat" w:eastAsia="Calibri" w:hAnsi="GHEA Grapalat" w:cs="Times New Roman"/>
                <w:noProof/>
                <w:sz w:val="18"/>
                <w:szCs w:val="18"/>
                <w:lang w:val="hy-AM"/>
              </w:rPr>
              <w:t>(2025թ</w:t>
            </w:r>
            <w:r w:rsidRPr="00F80230">
              <w:rPr>
                <w:rFonts w:ascii="Cambria Math" w:eastAsia="Calibri" w:hAnsi="Cambria Math" w:cs="Cambria Math"/>
                <w:noProof/>
                <w:sz w:val="18"/>
                <w:szCs w:val="18"/>
                <w:lang w:val="hy-AM"/>
              </w:rPr>
              <w:t>․</w:t>
            </w:r>
            <w:r w:rsidRPr="00F80230">
              <w:rPr>
                <w:rFonts w:ascii="GHEA Grapalat" w:eastAsia="Calibri" w:hAnsi="GHEA Grapalat" w:cs="Times New Roman"/>
                <w:noProof/>
                <w:sz w:val="18"/>
                <w:szCs w:val="18"/>
                <w:lang w:val="hy-AM"/>
              </w:rPr>
              <w:t xml:space="preserve"> </w:t>
            </w:r>
            <w:r w:rsidRPr="00F80230">
              <w:rPr>
                <w:rFonts w:ascii="GHEA Grapalat" w:eastAsia="Calibri" w:hAnsi="GHEA Grapalat" w:cs="GHEA Grapalat"/>
                <w:noProof/>
                <w:sz w:val="18"/>
                <w:szCs w:val="18"/>
                <w:lang w:val="hy-AM"/>
              </w:rPr>
              <w:t>բյուջե</w:t>
            </w:r>
            <w:r w:rsidRPr="00F80230">
              <w:rPr>
                <w:rFonts w:ascii="GHEA Grapalat" w:eastAsia="Calibri" w:hAnsi="GHEA Grapalat" w:cs="Times New Roman"/>
                <w:noProof/>
                <w:sz w:val="18"/>
                <w:szCs w:val="18"/>
                <w:lang w:val="hy-AM"/>
              </w:rPr>
              <w:t>)</w:t>
            </w:r>
          </w:p>
        </w:tc>
        <w:tc>
          <w:tcPr>
            <w:tcW w:w="1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3128177B" w14:textId="77777777" w:rsidR="00752EC7" w:rsidRPr="00F80230" w:rsidRDefault="00752EC7" w:rsidP="00360A1D">
            <w:pPr>
              <w:spacing w:after="0" w:line="276" w:lineRule="auto"/>
              <w:jc w:val="center"/>
              <w:rPr>
                <w:rFonts w:ascii="GHEA Grapalat" w:eastAsia="Calibri" w:hAnsi="GHEA Grapalat" w:cs="Times New Roman"/>
                <w:noProof/>
                <w:sz w:val="18"/>
                <w:szCs w:val="18"/>
                <w:lang w:val="hy-AM"/>
              </w:rPr>
            </w:pPr>
            <w:r w:rsidRPr="00F80230">
              <w:rPr>
                <w:rFonts w:ascii="GHEA Grapalat" w:eastAsia="Calibri" w:hAnsi="GHEA Grapalat" w:cs="Times New Roman"/>
                <w:noProof/>
                <w:sz w:val="18"/>
                <w:szCs w:val="18"/>
                <w:lang w:val="hy-AM"/>
              </w:rPr>
              <w:t>Փաստացի</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hideMark/>
          </w:tcPr>
          <w:p w14:paraId="6A19985B" w14:textId="77777777" w:rsidR="00752EC7" w:rsidRPr="00F80230" w:rsidRDefault="00752EC7" w:rsidP="00360A1D">
            <w:pPr>
              <w:spacing w:after="0" w:line="276" w:lineRule="auto"/>
              <w:jc w:val="center"/>
              <w:rPr>
                <w:rFonts w:ascii="GHEA Grapalat" w:eastAsia="Calibri" w:hAnsi="GHEA Grapalat" w:cs="Times New Roman"/>
                <w:noProof/>
                <w:sz w:val="18"/>
                <w:szCs w:val="18"/>
                <w:lang w:val="hy-AM"/>
              </w:rPr>
            </w:pPr>
            <w:r w:rsidRPr="00F80230">
              <w:rPr>
                <w:rFonts w:ascii="GHEA Grapalat" w:eastAsia="Calibri" w:hAnsi="GHEA Grapalat" w:cs="Times New Roman"/>
                <w:noProof/>
                <w:sz w:val="18"/>
                <w:szCs w:val="18"/>
                <w:lang w:val="hy-AM"/>
              </w:rPr>
              <w:t>2024թ</w:t>
            </w:r>
            <w:r w:rsidRPr="00F80230">
              <w:rPr>
                <w:rFonts w:ascii="GHEA Grapalat" w:eastAsia="Calibri" w:hAnsi="GHEA Grapalat" w:cs="Times New Roman"/>
                <w:noProof/>
                <w:sz w:val="18"/>
                <w:szCs w:val="18"/>
              </w:rPr>
              <w:t>.</w:t>
            </w:r>
            <w:r w:rsidRPr="00F80230">
              <w:rPr>
                <w:rFonts w:ascii="GHEA Grapalat" w:eastAsia="Calibri" w:hAnsi="GHEA Grapalat" w:cs="Times New Roman"/>
                <w:noProof/>
                <w:sz w:val="18"/>
                <w:szCs w:val="18"/>
                <w:lang w:val="hy-AM"/>
              </w:rPr>
              <w:t xml:space="preserve"> բյուջեի համեմատ</w:t>
            </w:r>
          </w:p>
        </w:tc>
      </w:tr>
      <w:tr w:rsidR="00163DAB" w:rsidRPr="00163DAB" w14:paraId="50200A6F" w14:textId="77777777" w:rsidTr="00F80230">
        <w:trPr>
          <w:trHeight w:val="365"/>
          <w:jc w:val="center"/>
        </w:trPr>
        <w:tc>
          <w:tcPr>
            <w:tcW w:w="3215" w:type="dxa"/>
            <w:tcBorders>
              <w:top w:val="single" w:sz="4" w:space="0" w:color="000000" w:themeColor="text1"/>
              <w:left w:val="single" w:sz="4" w:space="0" w:color="auto"/>
              <w:bottom w:val="single" w:sz="4" w:space="0" w:color="auto"/>
              <w:right w:val="single" w:sz="4" w:space="0" w:color="auto"/>
            </w:tcBorders>
            <w:shd w:val="clear" w:color="auto" w:fill="FFFFFF"/>
            <w:hideMark/>
          </w:tcPr>
          <w:p w14:paraId="01AE3D61" w14:textId="77777777" w:rsidR="00752EC7" w:rsidRPr="00F80230" w:rsidRDefault="00752EC7" w:rsidP="00360A1D">
            <w:pPr>
              <w:spacing w:after="0" w:line="276" w:lineRule="auto"/>
              <w:rPr>
                <w:rFonts w:ascii="GHEA Grapalat" w:eastAsia="Calibri" w:hAnsi="GHEA Grapalat" w:cs="Times New Roman"/>
                <w:b/>
                <w:bCs/>
                <w:noProof/>
                <w:sz w:val="18"/>
                <w:szCs w:val="18"/>
                <w:lang w:val="hy-AM"/>
              </w:rPr>
            </w:pPr>
            <w:r w:rsidRPr="00F80230">
              <w:rPr>
                <w:rFonts w:ascii="GHEA Grapalat" w:eastAsia="Calibri" w:hAnsi="GHEA Grapalat" w:cs="Times New Roman"/>
                <w:b/>
                <w:bCs/>
                <w:noProof/>
                <w:sz w:val="18"/>
                <w:szCs w:val="18"/>
                <w:lang w:val="hy-AM"/>
              </w:rPr>
              <w:t>Հարկաբյուջետային ազդակ</w:t>
            </w:r>
          </w:p>
        </w:tc>
        <w:tc>
          <w:tcPr>
            <w:tcW w:w="2067" w:type="dxa"/>
            <w:tcBorders>
              <w:top w:val="single" w:sz="4" w:space="0" w:color="000000" w:themeColor="text1"/>
              <w:left w:val="single" w:sz="4" w:space="0" w:color="auto"/>
              <w:bottom w:val="single" w:sz="4" w:space="0" w:color="auto"/>
              <w:right w:val="single" w:sz="4" w:space="0" w:color="auto"/>
            </w:tcBorders>
            <w:shd w:val="clear" w:color="auto" w:fill="FFFFFF"/>
            <w:noWrap/>
            <w:hideMark/>
          </w:tcPr>
          <w:p w14:paraId="78305F1D" w14:textId="77777777" w:rsidR="00752EC7" w:rsidRPr="00F80230" w:rsidRDefault="00752EC7" w:rsidP="00360A1D">
            <w:pPr>
              <w:spacing w:after="0" w:line="276" w:lineRule="auto"/>
              <w:jc w:val="right"/>
              <w:rPr>
                <w:rFonts w:ascii="GHEA Grapalat" w:eastAsia="Times New Roman" w:hAnsi="GHEA Grapalat" w:cs="Arial"/>
                <w:b/>
                <w:noProof/>
                <w:sz w:val="18"/>
                <w:szCs w:val="18"/>
                <w:lang w:val="hy-AM"/>
              </w:rPr>
            </w:pPr>
            <w:r w:rsidRPr="00F80230">
              <w:rPr>
                <w:rFonts w:ascii="GHEA Grapalat" w:eastAsia="Times New Roman" w:hAnsi="GHEA Grapalat" w:cs="Arial"/>
                <w:b/>
                <w:noProof/>
                <w:sz w:val="18"/>
                <w:szCs w:val="18"/>
                <w:lang w:val="hy-AM"/>
              </w:rPr>
              <w:t>0.3</w:t>
            </w:r>
          </w:p>
        </w:tc>
        <w:tc>
          <w:tcPr>
            <w:tcW w:w="2194" w:type="dxa"/>
            <w:tcBorders>
              <w:top w:val="single" w:sz="4" w:space="0" w:color="000000" w:themeColor="text1"/>
              <w:left w:val="single" w:sz="4" w:space="0" w:color="auto"/>
              <w:bottom w:val="single" w:sz="4" w:space="0" w:color="auto"/>
              <w:right w:val="single" w:sz="4" w:space="0" w:color="auto"/>
            </w:tcBorders>
            <w:shd w:val="clear" w:color="auto" w:fill="FFFFFF"/>
            <w:noWrap/>
            <w:hideMark/>
          </w:tcPr>
          <w:p w14:paraId="7A2D819C" w14:textId="77777777" w:rsidR="00752EC7" w:rsidRPr="00F80230" w:rsidRDefault="00752EC7" w:rsidP="00360A1D">
            <w:pPr>
              <w:spacing w:after="0" w:line="276" w:lineRule="auto"/>
              <w:jc w:val="right"/>
              <w:rPr>
                <w:rFonts w:ascii="GHEA Grapalat" w:eastAsia="Times New Roman" w:hAnsi="GHEA Grapalat" w:cs="Arial"/>
                <w:b/>
                <w:noProof/>
                <w:sz w:val="18"/>
                <w:szCs w:val="18"/>
              </w:rPr>
            </w:pPr>
            <w:r w:rsidRPr="00F80230">
              <w:rPr>
                <w:rFonts w:ascii="GHEA Grapalat" w:eastAsia="Times New Roman" w:hAnsi="GHEA Grapalat" w:cs="Arial"/>
                <w:b/>
                <w:noProof/>
                <w:sz w:val="18"/>
                <w:szCs w:val="18"/>
                <w:lang w:val="hy-AM"/>
              </w:rPr>
              <w:t>0</w:t>
            </w:r>
            <w:r w:rsidRPr="00F80230">
              <w:rPr>
                <w:rFonts w:ascii="GHEA Grapalat" w:eastAsia="Times New Roman" w:hAnsi="GHEA Grapalat" w:cs="Arial"/>
                <w:b/>
                <w:noProof/>
                <w:sz w:val="18"/>
                <w:szCs w:val="18"/>
              </w:rPr>
              <w:t>.2</w:t>
            </w:r>
          </w:p>
        </w:tc>
        <w:tc>
          <w:tcPr>
            <w:tcW w:w="1543" w:type="dxa"/>
            <w:tcBorders>
              <w:top w:val="single" w:sz="4" w:space="0" w:color="000000" w:themeColor="text1"/>
              <w:left w:val="single" w:sz="4" w:space="0" w:color="auto"/>
              <w:bottom w:val="single" w:sz="4" w:space="0" w:color="auto"/>
              <w:right w:val="single" w:sz="4" w:space="0" w:color="auto"/>
            </w:tcBorders>
            <w:shd w:val="clear" w:color="auto" w:fill="FFFFFF"/>
            <w:noWrap/>
            <w:hideMark/>
          </w:tcPr>
          <w:p w14:paraId="242EFA05" w14:textId="77777777" w:rsidR="00752EC7" w:rsidRPr="00F80230" w:rsidRDefault="00752EC7" w:rsidP="00360A1D">
            <w:pPr>
              <w:spacing w:after="0" w:line="276" w:lineRule="auto"/>
              <w:jc w:val="right"/>
              <w:rPr>
                <w:rFonts w:ascii="GHEA Grapalat" w:eastAsia="Times New Roman" w:hAnsi="GHEA Grapalat" w:cs="Arial"/>
                <w:b/>
                <w:noProof/>
                <w:sz w:val="18"/>
                <w:szCs w:val="18"/>
                <w:lang w:val="hy-AM"/>
              </w:rPr>
            </w:pPr>
            <w:r w:rsidRPr="00F80230">
              <w:rPr>
                <w:rFonts w:ascii="GHEA Grapalat" w:eastAsia="Times New Roman" w:hAnsi="GHEA Grapalat" w:cs="Arial"/>
                <w:b/>
                <w:noProof/>
                <w:sz w:val="18"/>
                <w:szCs w:val="18"/>
                <w:lang w:val="hy-AM"/>
              </w:rPr>
              <w:t>0.5</w:t>
            </w:r>
          </w:p>
        </w:tc>
        <w:tc>
          <w:tcPr>
            <w:tcW w:w="1545" w:type="dxa"/>
            <w:tcBorders>
              <w:top w:val="single" w:sz="4" w:space="0" w:color="000000" w:themeColor="text1"/>
              <w:left w:val="single" w:sz="4" w:space="0" w:color="auto"/>
              <w:bottom w:val="single" w:sz="4" w:space="0" w:color="auto"/>
              <w:right w:val="single" w:sz="4" w:space="0" w:color="auto"/>
            </w:tcBorders>
            <w:shd w:val="clear" w:color="auto" w:fill="FFFFFF"/>
            <w:noWrap/>
            <w:hideMark/>
          </w:tcPr>
          <w:p w14:paraId="0C41B742" w14:textId="77777777" w:rsidR="00752EC7" w:rsidRPr="00F80230" w:rsidRDefault="00752EC7" w:rsidP="00360A1D">
            <w:pPr>
              <w:spacing w:after="0" w:line="276" w:lineRule="auto"/>
              <w:jc w:val="right"/>
              <w:rPr>
                <w:rFonts w:ascii="GHEA Grapalat" w:eastAsia="Times New Roman" w:hAnsi="GHEA Grapalat" w:cs="Arial"/>
                <w:b/>
                <w:noProof/>
                <w:sz w:val="18"/>
                <w:szCs w:val="18"/>
                <w:lang w:val="hy-AM"/>
              </w:rPr>
            </w:pPr>
            <w:r w:rsidRPr="00F80230">
              <w:rPr>
                <w:rFonts w:ascii="GHEA Grapalat" w:eastAsia="Times New Roman" w:hAnsi="GHEA Grapalat" w:cs="Arial"/>
                <w:b/>
                <w:noProof/>
                <w:sz w:val="18"/>
                <w:szCs w:val="18"/>
              </w:rPr>
              <w:t>0</w:t>
            </w:r>
            <w:r w:rsidRPr="00F80230">
              <w:rPr>
                <w:rFonts w:ascii="GHEA Grapalat" w:eastAsia="Times New Roman" w:hAnsi="GHEA Grapalat" w:cs="Arial"/>
                <w:b/>
                <w:noProof/>
                <w:sz w:val="18"/>
                <w:szCs w:val="18"/>
                <w:lang w:val="hy-AM"/>
              </w:rPr>
              <w:t>.2</w:t>
            </w:r>
          </w:p>
        </w:tc>
      </w:tr>
      <w:tr w:rsidR="00163DAB" w:rsidRPr="00163DAB" w14:paraId="29236574" w14:textId="77777777" w:rsidTr="00F80230">
        <w:trPr>
          <w:trHeight w:val="309"/>
          <w:jc w:val="center"/>
        </w:trPr>
        <w:tc>
          <w:tcPr>
            <w:tcW w:w="3215" w:type="dxa"/>
            <w:tcBorders>
              <w:top w:val="single" w:sz="4" w:space="0" w:color="auto"/>
              <w:left w:val="single" w:sz="4" w:space="0" w:color="auto"/>
              <w:bottom w:val="single" w:sz="4" w:space="0" w:color="auto"/>
              <w:right w:val="single" w:sz="4" w:space="0" w:color="auto"/>
            </w:tcBorders>
            <w:shd w:val="clear" w:color="auto" w:fill="FFFFFF"/>
            <w:hideMark/>
          </w:tcPr>
          <w:p w14:paraId="783D2BA6" w14:textId="77777777" w:rsidR="00752EC7" w:rsidRPr="00F80230" w:rsidRDefault="00752EC7" w:rsidP="00360A1D">
            <w:pPr>
              <w:spacing w:after="0" w:line="276" w:lineRule="auto"/>
              <w:ind w:firstLineChars="137" w:firstLine="247"/>
              <w:rPr>
                <w:rFonts w:ascii="GHEA Grapalat" w:eastAsia="Calibri" w:hAnsi="GHEA Grapalat" w:cs="Times New Roman"/>
                <w:bCs/>
                <w:noProof/>
                <w:sz w:val="18"/>
                <w:szCs w:val="18"/>
                <w:lang w:val="hy-AM"/>
              </w:rPr>
            </w:pPr>
            <w:r w:rsidRPr="00F80230">
              <w:rPr>
                <w:rFonts w:ascii="GHEA Grapalat" w:eastAsia="Calibri" w:hAnsi="GHEA Grapalat" w:cs="Times New Roman"/>
                <w:bCs/>
                <w:noProof/>
                <w:sz w:val="18"/>
                <w:szCs w:val="18"/>
                <w:lang w:val="hy-AM"/>
              </w:rPr>
              <w:t>Եկամուտների ազդակ</w:t>
            </w:r>
          </w:p>
        </w:tc>
        <w:tc>
          <w:tcPr>
            <w:tcW w:w="2067" w:type="dxa"/>
            <w:tcBorders>
              <w:top w:val="single" w:sz="4" w:space="0" w:color="auto"/>
              <w:left w:val="single" w:sz="4" w:space="0" w:color="auto"/>
              <w:bottom w:val="single" w:sz="4" w:space="0" w:color="auto"/>
              <w:right w:val="single" w:sz="4" w:space="0" w:color="auto"/>
            </w:tcBorders>
            <w:shd w:val="clear" w:color="auto" w:fill="FFFFFF"/>
            <w:noWrap/>
            <w:hideMark/>
          </w:tcPr>
          <w:p w14:paraId="5DC06BA6"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lang w:val="hy-AM"/>
              </w:rPr>
              <w:t>-0.4</w:t>
            </w:r>
          </w:p>
        </w:tc>
        <w:tc>
          <w:tcPr>
            <w:tcW w:w="2194" w:type="dxa"/>
            <w:tcBorders>
              <w:top w:val="single" w:sz="4" w:space="0" w:color="auto"/>
              <w:left w:val="single" w:sz="4" w:space="0" w:color="auto"/>
              <w:bottom w:val="single" w:sz="4" w:space="0" w:color="auto"/>
              <w:right w:val="single" w:sz="4" w:space="0" w:color="auto"/>
            </w:tcBorders>
            <w:shd w:val="clear" w:color="auto" w:fill="FFFFFF"/>
            <w:noWrap/>
            <w:hideMark/>
          </w:tcPr>
          <w:p w14:paraId="39EEB252"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rPr>
              <w:t>0.1</w:t>
            </w:r>
          </w:p>
        </w:tc>
        <w:tc>
          <w:tcPr>
            <w:tcW w:w="1543" w:type="dxa"/>
            <w:tcBorders>
              <w:top w:val="single" w:sz="4" w:space="0" w:color="auto"/>
              <w:left w:val="single" w:sz="4" w:space="0" w:color="auto"/>
              <w:bottom w:val="single" w:sz="4" w:space="0" w:color="auto"/>
              <w:right w:val="single" w:sz="4" w:space="0" w:color="auto"/>
            </w:tcBorders>
            <w:shd w:val="clear" w:color="auto" w:fill="FFFFFF"/>
            <w:noWrap/>
            <w:hideMark/>
          </w:tcPr>
          <w:p w14:paraId="153BC6AA"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lang w:val="hy-AM"/>
              </w:rPr>
              <w:t>0.2</w:t>
            </w:r>
          </w:p>
        </w:tc>
        <w:tc>
          <w:tcPr>
            <w:tcW w:w="1545" w:type="dxa"/>
            <w:tcBorders>
              <w:top w:val="single" w:sz="4" w:space="0" w:color="auto"/>
              <w:left w:val="single" w:sz="4" w:space="0" w:color="auto"/>
              <w:bottom w:val="single" w:sz="4" w:space="0" w:color="auto"/>
              <w:right w:val="single" w:sz="4" w:space="0" w:color="auto"/>
            </w:tcBorders>
            <w:shd w:val="clear" w:color="auto" w:fill="FFFFFF"/>
            <w:noWrap/>
            <w:hideMark/>
          </w:tcPr>
          <w:p w14:paraId="31411730"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lang w:val="hy-AM"/>
              </w:rPr>
              <w:t>0.</w:t>
            </w:r>
            <w:r w:rsidRPr="00F80230">
              <w:rPr>
                <w:rFonts w:ascii="GHEA Grapalat" w:eastAsia="Times New Roman" w:hAnsi="GHEA Grapalat" w:cs="Arial"/>
                <w:noProof/>
                <w:sz w:val="18"/>
                <w:szCs w:val="18"/>
              </w:rPr>
              <w:t>6</w:t>
            </w:r>
          </w:p>
        </w:tc>
      </w:tr>
      <w:tr w:rsidR="00163DAB" w:rsidRPr="00163DAB" w14:paraId="6060737A" w14:textId="77777777" w:rsidTr="00F80230">
        <w:trPr>
          <w:trHeight w:val="348"/>
          <w:jc w:val="center"/>
        </w:trPr>
        <w:tc>
          <w:tcPr>
            <w:tcW w:w="3215" w:type="dxa"/>
            <w:tcBorders>
              <w:top w:val="single" w:sz="4" w:space="0" w:color="auto"/>
              <w:left w:val="single" w:sz="4" w:space="0" w:color="auto"/>
              <w:bottom w:val="single" w:sz="4" w:space="0" w:color="auto"/>
              <w:right w:val="single" w:sz="4" w:space="0" w:color="auto"/>
            </w:tcBorders>
            <w:shd w:val="clear" w:color="auto" w:fill="FFFFFF"/>
            <w:hideMark/>
          </w:tcPr>
          <w:p w14:paraId="4DF7E4E3" w14:textId="77777777" w:rsidR="00752EC7" w:rsidRPr="00F80230" w:rsidRDefault="00752EC7" w:rsidP="00360A1D">
            <w:pPr>
              <w:spacing w:after="0" w:line="276" w:lineRule="auto"/>
              <w:ind w:firstLineChars="137" w:firstLine="247"/>
              <w:rPr>
                <w:rFonts w:ascii="GHEA Grapalat" w:eastAsia="Calibri" w:hAnsi="GHEA Grapalat" w:cs="Times New Roman"/>
                <w:bCs/>
                <w:noProof/>
                <w:sz w:val="18"/>
                <w:szCs w:val="18"/>
                <w:lang w:val="hy-AM"/>
              </w:rPr>
            </w:pPr>
            <w:r w:rsidRPr="00F80230">
              <w:rPr>
                <w:rFonts w:ascii="GHEA Grapalat" w:eastAsia="Calibri" w:hAnsi="GHEA Grapalat" w:cs="Times New Roman"/>
                <w:bCs/>
                <w:noProof/>
                <w:sz w:val="18"/>
                <w:szCs w:val="18"/>
                <w:lang w:val="hy-AM"/>
              </w:rPr>
              <w:t>Ծախսերի ազդակ</w:t>
            </w:r>
          </w:p>
        </w:tc>
        <w:tc>
          <w:tcPr>
            <w:tcW w:w="2067" w:type="dxa"/>
            <w:tcBorders>
              <w:top w:val="single" w:sz="4" w:space="0" w:color="auto"/>
              <w:left w:val="single" w:sz="4" w:space="0" w:color="auto"/>
              <w:bottom w:val="single" w:sz="4" w:space="0" w:color="auto"/>
              <w:right w:val="single" w:sz="4" w:space="0" w:color="auto"/>
            </w:tcBorders>
            <w:shd w:val="clear" w:color="auto" w:fill="FFFFFF"/>
            <w:noWrap/>
            <w:hideMark/>
          </w:tcPr>
          <w:p w14:paraId="3A14B8D3"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lang w:val="hy-AM"/>
              </w:rPr>
              <w:t>0.7</w:t>
            </w:r>
          </w:p>
        </w:tc>
        <w:tc>
          <w:tcPr>
            <w:tcW w:w="2194" w:type="dxa"/>
            <w:tcBorders>
              <w:top w:val="single" w:sz="4" w:space="0" w:color="auto"/>
              <w:left w:val="single" w:sz="4" w:space="0" w:color="auto"/>
              <w:bottom w:val="single" w:sz="4" w:space="0" w:color="auto"/>
              <w:right w:val="single" w:sz="4" w:space="0" w:color="auto"/>
            </w:tcBorders>
            <w:shd w:val="clear" w:color="auto" w:fill="FFFFFF"/>
            <w:noWrap/>
            <w:hideMark/>
          </w:tcPr>
          <w:p w14:paraId="480340C2"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rPr>
              <w:t>0.1</w:t>
            </w:r>
          </w:p>
        </w:tc>
        <w:tc>
          <w:tcPr>
            <w:tcW w:w="1543" w:type="dxa"/>
            <w:tcBorders>
              <w:top w:val="single" w:sz="4" w:space="0" w:color="auto"/>
              <w:left w:val="single" w:sz="4" w:space="0" w:color="auto"/>
              <w:bottom w:val="single" w:sz="4" w:space="0" w:color="auto"/>
              <w:right w:val="single" w:sz="4" w:space="0" w:color="auto"/>
            </w:tcBorders>
            <w:shd w:val="clear" w:color="auto" w:fill="FFFFFF"/>
            <w:noWrap/>
            <w:hideMark/>
          </w:tcPr>
          <w:p w14:paraId="3FD81E9B"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lang w:val="hy-AM"/>
              </w:rPr>
              <w:t>0.3</w:t>
            </w:r>
          </w:p>
        </w:tc>
        <w:tc>
          <w:tcPr>
            <w:tcW w:w="1545" w:type="dxa"/>
            <w:tcBorders>
              <w:top w:val="single" w:sz="4" w:space="0" w:color="auto"/>
              <w:left w:val="single" w:sz="4" w:space="0" w:color="auto"/>
              <w:bottom w:val="single" w:sz="4" w:space="0" w:color="auto"/>
              <w:right w:val="single" w:sz="4" w:space="0" w:color="auto"/>
            </w:tcBorders>
            <w:shd w:val="clear" w:color="auto" w:fill="FFFFFF"/>
            <w:noWrap/>
            <w:hideMark/>
          </w:tcPr>
          <w:p w14:paraId="611AE8C3" w14:textId="77777777" w:rsidR="00752EC7" w:rsidRPr="00F80230" w:rsidRDefault="00752EC7" w:rsidP="00360A1D">
            <w:pPr>
              <w:spacing w:after="0" w:line="276" w:lineRule="auto"/>
              <w:jc w:val="right"/>
              <w:rPr>
                <w:rFonts w:ascii="GHEA Grapalat" w:eastAsia="Times New Roman" w:hAnsi="GHEA Grapalat" w:cs="Arial"/>
                <w:noProof/>
                <w:sz w:val="18"/>
                <w:szCs w:val="18"/>
                <w:lang w:val="hy-AM"/>
              </w:rPr>
            </w:pPr>
            <w:r w:rsidRPr="00F80230">
              <w:rPr>
                <w:rFonts w:ascii="GHEA Grapalat" w:eastAsia="Times New Roman" w:hAnsi="GHEA Grapalat" w:cs="Arial"/>
                <w:noProof/>
                <w:sz w:val="18"/>
                <w:szCs w:val="18"/>
                <w:lang w:val="hy-AM"/>
              </w:rPr>
              <w:t>-0.</w:t>
            </w:r>
            <w:r w:rsidRPr="00F80230">
              <w:rPr>
                <w:rFonts w:ascii="GHEA Grapalat" w:eastAsia="Times New Roman" w:hAnsi="GHEA Grapalat" w:cs="Arial"/>
                <w:noProof/>
                <w:sz w:val="18"/>
                <w:szCs w:val="18"/>
              </w:rPr>
              <w:t>4</w:t>
            </w:r>
          </w:p>
        </w:tc>
      </w:tr>
    </w:tbl>
    <w:p w14:paraId="6F3B0C13" w14:textId="77777777" w:rsidR="00752EC7" w:rsidRPr="00F80230" w:rsidRDefault="00752EC7" w:rsidP="00360A1D">
      <w:pPr>
        <w:spacing w:after="0" w:line="276" w:lineRule="auto"/>
        <w:ind w:firstLine="567"/>
        <w:jc w:val="both"/>
        <w:rPr>
          <w:rFonts w:ascii="GHEA Grapalat" w:eastAsia="Calibri" w:hAnsi="GHEA Grapalat" w:cs="Sylfaen"/>
          <w:noProof/>
          <w:lang w:val="hy-AM"/>
        </w:rPr>
      </w:pPr>
    </w:p>
    <w:p w14:paraId="474B1F4D" w14:textId="3F381303" w:rsidR="00752EC7" w:rsidRPr="008975A2" w:rsidRDefault="008975A2" w:rsidP="008975A2">
      <w:pPr>
        <w:keepNext/>
        <w:keepLines/>
        <w:tabs>
          <w:tab w:val="left" w:pos="1701"/>
          <w:tab w:val="left" w:pos="1985"/>
        </w:tabs>
        <w:autoSpaceDE w:val="0"/>
        <w:autoSpaceDN w:val="0"/>
        <w:adjustRightInd w:val="0"/>
        <w:spacing w:after="0" w:line="276" w:lineRule="auto"/>
        <w:jc w:val="both"/>
        <w:rPr>
          <w:rFonts w:ascii="GHEA Grapalat" w:eastAsia="Calibri" w:hAnsi="GHEA Grapalat" w:cs="Times New Roman"/>
          <w:b/>
          <w:sz w:val="18"/>
          <w:szCs w:val="18"/>
          <w:lang w:val="hy-AM"/>
        </w:rPr>
      </w:pPr>
      <w:r>
        <w:rPr>
          <w:rFonts w:ascii="GHEA Grapalat" w:eastAsia="Times New Roman" w:hAnsi="GHEA Grapalat" w:cs="Times New Roman"/>
          <w:b/>
          <w:sz w:val="18"/>
          <w:szCs w:val="18"/>
          <w:lang w:val="hy-AM"/>
        </w:rPr>
        <w:lastRenderedPageBreak/>
        <w:t xml:space="preserve">Գծապատկեր </w:t>
      </w:r>
      <w:r w:rsidR="0095310A" w:rsidRPr="008975A2">
        <w:rPr>
          <w:rFonts w:ascii="GHEA Grapalat" w:eastAsia="Times New Roman" w:hAnsi="GHEA Grapalat" w:cs="Times New Roman"/>
          <w:b/>
          <w:sz w:val="18"/>
          <w:szCs w:val="18"/>
          <w:lang w:val="hy-AM"/>
        </w:rPr>
        <w:t>8</w:t>
      </w:r>
      <w:r w:rsidR="0095310A" w:rsidRPr="008975A2">
        <w:rPr>
          <w:rFonts w:ascii="Cambria Math" w:eastAsia="Times New Roman" w:hAnsi="Cambria Math" w:cs="Cambria Math"/>
          <w:b/>
          <w:sz w:val="18"/>
          <w:szCs w:val="18"/>
          <w:lang w:val="hy-AM"/>
        </w:rPr>
        <w:t>․</w:t>
      </w:r>
      <w:r w:rsidR="0095310A" w:rsidRPr="008975A2">
        <w:rPr>
          <w:rFonts w:ascii="GHEA Grapalat" w:eastAsia="Times New Roman" w:hAnsi="GHEA Grapalat" w:cs="Times New Roman"/>
          <w:b/>
          <w:sz w:val="18"/>
          <w:szCs w:val="18"/>
          <w:lang w:val="hy-AM"/>
        </w:rPr>
        <w:t xml:space="preserve"> </w:t>
      </w:r>
      <w:r w:rsidR="00752EC7" w:rsidRPr="008975A2">
        <w:rPr>
          <w:rFonts w:ascii="GHEA Grapalat" w:eastAsia="Times New Roman" w:hAnsi="GHEA Grapalat" w:cs="Times New Roman"/>
          <w:b/>
          <w:sz w:val="18"/>
          <w:szCs w:val="18"/>
          <w:lang w:val="hy-AM"/>
        </w:rPr>
        <w:t>Հարկաբյուջետային</w:t>
      </w:r>
      <w:r w:rsidR="00752EC7" w:rsidRPr="008975A2">
        <w:rPr>
          <w:rFonts w:ascii="GHEA Grapalat" w:eastAsia="Calibri" w:hAnsi="GHEA Grapalat" w:cs="Times New Roman"/>
          <w:b/>
          <w:sz w:val="18"/>
          <w:szCs w:val="18"/>
          <w:lang w:val="hy-AM"/>
        </w:rPr>
        <w:t xml:space="preserve"> դիրքը և ազդակը</w:t>
      </w:r>
      <w:r w:rsidR="00752EC7" w:rsidRPr="008975A2">
        <w:rPr>
          <w:rFonts w:ascii="GHEA Grapalat" w:eastAsia="Calibri" w:hAnsi="GHEA Grapalat" w:cs="Times New Roman"/>
          <w:b/>
          <w:sz w:val="18"/>
          <w:szCs w:val="18"/>
          <w:vertAlign w:val="superscript"/>
        </w:rPr>
        <w:footnoteReference w:id="3"/>
      </w:r>
    </w:p>
    <w:p w14:paraId="27FCA41E" w14:textId="77777777" w:rsidR="00752EC7" w:rsidRPr="00752EC7" w:rsidRDefault="00752EC7" w:rsidP="00360A1D">
      <w:pPr>
        <w:tabs>
          <w:tab w:val="left" w:pos="90"/>
        </w:tabs>
        <w:spacing w:after="0" w:line="276" w:lineRule="auto"/>
        <w:rPr>
          <w:rFonts w:ascii="GHEA Grapalat" w:eastAsia="Times New Roman" w:hAnsi="GHEA Grapalat" w:cs="GHEA Grapalat"/>
          <w:noProof/>
          <w:lang w:val="hy-AM"/>
        </w:rPr>
      </w:pPr>
      <w:r w:rsidRPr="00752EC7">
        <w:rPr>
          <w:rFonts w:ascii="GHEA Grapalat" w:eastAsia="Times New Roman" w:hAnsi="GHEA Grapalat" w:cs="Times New Roman"/>
          <w:noProof/>
          <w:sz w:val="24"/>
          <w:szCs w:val="24"/>
        </w:rPr>
        <w:drawing>
          <wp:inline distT="0" distB="0" distL="0" distR="0" wp14:anchorId="20F4E12D" wp14:editId="54F1D4D1">
            <wp:extent cx="3190875" cy="2800350"/>
            <wp:effectExtent l="0" t="0" r="9525" b="0"/>
            <wp:docPr id="12" name="Chart 3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752EC7">
        <w:rPr>
          <w:rFonts w:ascii="GHEA Grapalat" w:eastAsia="Times New Roman" w:hAnsi="GHEA Grapalat" w:cs="GHEA Grapalat"/>
          <w:noProof/>
          <w:lang w:val="hy-AM"/>
        </w:rPr>
        <w:t xml:space="preserve"> </w:t>
      </w:r>
      <w:r w:rsidRPr="00752EC7">
        <w:rPr>
          <w:rFonts w:ascii="GHEA Grapalat" w:eastAsia="Times New Roman" w:hAnsi="GHEA Grapalat" w:cs="GHEA Grapalat"/>
          <w:noProof/>
        </w:rPr>
        <w:drawing>
          <wp:inline distT="0" distB="0" distL="0" distR="0" wp14:anchorId="5F4430BA" wp14:editId="0E78731F">
            <wp:extent cx="3152775" cy="2793365"/>
            <wp:effectExtent l="0" t="0" r="9525" b="6985"/>
            <wp:docPr id="13" name="Object 5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230CFE4" w14:textId="7F2109F2" w:rsidR="00752EC7" w:rsidRDefault="00752EC7" w:rsidP="00360A1D">
      <w:pPr>
        <w:tabs>
          <w:tab w:val="left" w:pos="90"/>
        </w:tabs>
        <w:spacing w:after="120" w:line="276" w:lineRule="auto"/>
        <w:rPr>
          <w:rFonts w:ascii="GHEA Grapalat" w:eastAsia="Times New Roman" w:hAnsi="GHEA Grapalat" w:cs="GHEA Grapalat"/>
          <w:i/>
          <w:iCs/>
          <w:noProof/>
          <w:color w:val="000000"/>
          <w:sz w:val="18"/>
          <w:szCs w:val="18"/>
          <w:lang w:val="hy-AM"/>
        </w:rPr>
      </w:pPr>
      <w:r w:rsidRPr="00752EC7">
        <w:rPr>
          <w:rFonts w:ascii="GHEA Grapalat" w:eastAsia="Times New Roman" w:hAnsi="GHEA Grapalat" w:cs="GHEA Grapalat"/>
          <w:i/>
          <w:iCs/>
          <w:noProof/>
          <w:color w:val="000000"/>
          <w:sz w:val="18"/>
          <w:szCs w:val="18"/>
          <w:lang w:val="hy-AM"/>
        </w:rPr>
        <w:t>Աղբյուրը՝ ՀՀ ՖՆ գնահատական</w:t>
      </w:r>
    </w:p>
    <w:p w14:paraId="31879661" w14:textId="39A0DEAE" w:rsidR="00BB4648" w:rsidRPr="00BB4648" w:rsidRDefault="00BB4648" w:rsidP="00BB4648">
      <w:pPr>
        <w:spacing w:after="0" w:line="276" w:lineRule="auto"/>
        <w:ind w:firstLine="567"/>
        <w:jc w:val="both"/>
        <w:rPr>
          <w:rFonts w:ascii="GHEA Grapalat" w:eastAsia="Calibri" w:hAnsi="GHEA Grapalat" w:cs="Sylfaen"/>
          <w:noProof/>
          <w:lang w:val="hy-AM"/>
        </w:rPr>
      </w:pPr>
    </w:p>
    <w:p w14:paraId="49D9CD91" w14:textId="6A8C4A99" w:rsidR="00FB2613" w:rsidRPr="001F601A" w:rsidRDefault="00FB2613" w:rsidP="001F601A">
      <w:pPr>
        <w:pStyle w:val="Heading3"/>
        <w:numPr>
          <w:ilvl w:val="2"/>
          <w:numId w:val="17"/>
        </w:numPr>
        <w:spacing w:before="0" w:after="240"/>
        <w:ind w:left="709" w:hanging="709"/>
        <w:rPr>
          <w:rFonts w:ascii="GHEA Grapalat" w:hAnsi="GHEA Grapalat"/>
          <w:b/>
          <w:color w:val="auto"/>
        </w:rPr>
      </w:pPr>
      <w:r w:rsidRPr="001F601A">
        <w:rPr>
          <w:rFonts w:ascii="GHEA Grapalat" w:hAnsi="GHEA Grapalat"/>
          <w:b/>
          <w:color w:val="auto"/>
        </w:rPr>
        <w:t xml:space="preserve">Հարկային քաղաքականության հիմնական ուղղությունները </w:t>
      </w:r>
    </w:p>
    <w:p w14:paraId="646FCD13" w14:textId="2A2A40DB" w:rsidR="00BB4648" w:rsidRPr="00BB4648" w:rsidRDefault="00BB4648" w:rsidP="00BB4648">
      <w:pPr>
        <w:spacing w:after="0" w:line="276" w:lineRule="auto"/>
        <w:ind w:firstLine="567"/>
        <w:jc w:val="both"/>
        <w:rPr>
          <w:rFonts w:ascii="GHEA Grapalat" w:eastAsia="Calibri" w:hAnsi="GHEA Grapalat" w:cs="Sylfaen"/>
          <w:noProof/>
          <w:lang w:val="hy-AM"/>
        </w:rPr>
      </w:pPr>
      <w:r w:rsidRPr="00BB4648">
        <w:rPr>
          <w:rFonts w:ascii="GHEA Grapalat" w:eastAsia="Calibri" w:hAnsi="GHEA Grapalat" w:cs="Sylfaen"/>
          <w:noProof/>
          <w:lang w:val="hy-AM"/>
        </w:rPr>
        <w:t>2024թ</w:t>
      </w:r>
      <w:r w:rsidR="00FB2613" w:rsidRPr="002570E5">
        <w:rPr>
          <w:rFonts w:ascii="GHEA Grapalat" w:eastAsia="Calibri" w:hAnsi="GHEA Grapalat" w:cs="Sylfaen"/>
          <w:noProof/>
          <w:lang w:val="de-AT"/>
        </w:rPr>
        <w:t>.</w:t>
      </w:r>
      <w:r w:rsidRPr="00BB4648">
        <w:rPr>
          <w:rFonts w:ascii="GHEA Grapalat" w:eastAsia="Calibri" w:hAnsi="GHEA Grapalat" w:cs="Sylfaen"/>
          <w:noProof/>
          <w:lang w:val="hy-AM"/>
        </w:rPr>
        <w:t xml:space="preserve"> հարկային քաղաքականությունը հիմնականում ուղղված է եղել ՀՀ կառավարության 2021</w:t>
      </w:r>
      <w:r w:rsidR="00FB2613">
        <w:rPr>
          <w:rFonts w:ascii="GHEA Grapalat" w:eastAsia="Calibri" w:hAnsi="GHEA Grapalat" w:cs="Sylfaen"/>
          <w:noProof/>
          <w:lang w:val="hy-AM"/>
        </w:rPr>
        <w:noBreakHyphen/>
        <w:t>2026</w:t>
      </w:r>
      <w:r w:rsidRPr="00BB4648">
        <w:rPr>
          <w:rFonts w:ascii="GHEA Grapalat" w:eastAsia="Calibri" w:hAnsi="GHEA Grapalat" w:cs="Sylfaen"/>
          <w:noProof/>
          <w:lang w:val="hy-AM"/>
        </w:rPr>
        <w:t>թ</w:t>
      </w:r>
      <w:r w:rsidR="00FB2613">
        <w:rPr>
          <w:rFonts w:ascii="GHEA Grapalat" w:eastAsia="Calibri" w:hAnsi="GHEA Grapalat" w:cs="Sylfaen"/>
          <w:noProof/>
        </w:rPr>
        <w:t>թ</w:t>
      </w:r>
      <w:r w:rsidR="00FB2613" w:rsidRPr="002570E5">
        <w:rPr>
          <w:rFonts w:ascii="GHEA Grapalat" w:eastAsia="Calibri" w:hAnsi="GHEA Grapalat" w:cs="Sylfaen"/>
          <w:noProof/>
          <w:lang w:val="de-AT"/>
        </w:rPr>
        <w:t>.</w:t>
      </w:r>
      <w:r w:rsidRPr="00BB4648">
        <w:rPr>
          <w:rFonts w:ascii="GHEA Grapalat" w:eastAsia="Calibri" w:hAnsi="GHEA Grapalat" w:cs="Sylfaen"/>
          <w:noProof/>
          <w:lang w:val="hy-AM"/>
        </w:rPr>
        <w:t xml:space="preserve"> ծրագրով հարկային քաղաքականության մասով նախատեսված ծրագրային դրույթներն իրականացնելուն: Մասնավորապես, հարկային քաղաքականությունն ուղղված է եղել հանրային ռեսուրսների կառավարման արդյունավետու</w:t>
      </w:r>
      <w:r w:rsidRPr="00BB4648">
        <w:rPr>
          <w:rFonts w:ascii="GHEA Grapalat" w:eastAsia="Calibri" w:hAnsi="GHEA Grapalat" w:cs="Sylfaen"/>
          <w:noProof/>
          <w:lang w:val="hy-AM"/>
        </w:rPr>
        <w:softHyphen/>
        <w:t>թյունն ու հասցեականությունը բարձրացնելու և այդ ռեսուրսները հանրօգուտ ու համապետա</w:t>
      </w:r>
      <w:r w:rsidRPr="00BB4648">
        <w:rPr>
          <w:rFonts w:ascii="GHEA Grapalat" w:eastAsia="Calibri" w:hAnsi="GHEA Grapalat" w:cs="Sylfaen"/>
          <w:noProof/>
          <w:lang w:val="hy-AM"/>
        </w:rPr>
        <w:softHyphen/>
        <w:t>կան նշանակություն ունեցող ծրագրերի վրա ծախսելու, ինչպես նաև հարկաբյուջետային կայունությունն ապահովելու նպատակով հարկային եկամուտների ընդլայնմանը և հար</w:t>
      </w:r>
      <w:r w:rsidRPr="00BB4648">
        <w:rPr>
          <w:rFonts w:ascii="GHEA Grapalat" w:eastAsia="Calibri" w:hAnsi="GHEA Grapalat" w:cs="Sylfaen"/>
          <w:noProof/>
          <w:lang w:val="hy-AM"/>
        </w:rPr>
        <w:softHyphen/>
        <w:t>կեր/ՀՆԱ ցուցանիշի բարելավմանը: Մյուս կողմից, հարկային քաղաքականությունն ուղղված է եղել ներդրողների համար արդար, ընկալելի և կանխատեսելի միջավայր ձևավորելուն, հարկման համակարգում հարկային բեռի արդարացի և հավասար բաշխմանը, տնտեսական շարժառիթների հիման վրա գործող՝ ֆիզիկական անձանց եկամուտների համընդհանուր հայտարարագրման գործուն համակարգի ներդրման շարունակականության ապահովմանը և այլն:</w:t>
      </w:r>
    </w:p>
    <w:p w14:paraId="301B3A94" w14:textId="272E525F" w:rsidR="00BB4648" w:rsidRPr="00FB2613" w:rsidRDefault="00BB4648" w:rsidP="00FB2613">
      <w:pPr>
        <w:spacing w:after="0" w:line="276" w:lineRule="auto"/>
        <w:ind w:firstLine="567"/>
        <w:jc w:val="both"/>
        <w:rPr>
          <w:rFonts w:ascii="GHEA Grapalat" w:eastAsia="Calibri" w:hAnsi="GHEA Grapalat" w:cs="Sylfaen"/>
          <w:noProof/>
          <w:lang w:val="hy-AM"/>
        </w:rPr>
      </w:pPr>
      <w:r w:rsidRPr="00FB2613">
        <w:rPr>
          <w:rFonts w:ascii="GHEA Grapalat" w:eastAsia="Calibri" w:hAnsi="GHEA Grapalat" w:cs="Sylfaen"/>
          <w:noProof/>
          <w:lang w:val="hy-AM"/>
        </w:rPr>
        <w:t>Հարկեր/ՀՆԱ ցուցանիշի բարելավման աշխատանքների և հարկման համակարգում հարկային բեռի արդարացի և հավասար բաշխման շրջանակներում՝</w:t>
      </w:r>
    </w:p>
    <w:p w14:paraId="1FA31017" w14:textId="2F3F5724" w:rsidR="00BB4648" w:rsidRPr="004D1B0E" w:rsidRDefault="00BB4648" w:rsidP="004D1B0E">
      <w:pPr>
        <w:pStyle w:val="ListParagraph"/>
        <w:numPr>
          <w:ilvl w:val="2"/>
          <w:numId w:val="6"/>
        </w:numPr>
        <w:tabs>
          <w:tab w:val="left" w:pos="851"/>
        </w:tabs>
        <w:spacing w:after="0"/>
        <w:ind w:left="0" w:firstLine="567"/>
        <w:jc w:val="both"/>
        <w:rPr>
          <w:rFonts w:ascii="GHEA Grapalat" w:eastAsia="Calibri" w:hAnsi="GHEA Grapalat" w:cs="Sylfaen"/>
          <w:noProof/>
          <w:lang w:val="hy-AM"/>
        </w:rPr>
      </w:pPr>
      <w:r w:rsidRPr="004D1B0E">
        <w:rPr>
          <w:rFonts w:ascii="GHEA Grapalat" w:eastAsia="Calibri" w:hAnsi="GHEA Grapalat" w:cs="Sylfaen"/>
          <w:noProof/>
          <w:lang w:val="hy-AM"/>
        </w:rPr>
        <w:t>փոփոխություններ են կատարվել Հարկային օրենսգրքում, որ</w:t>
      </w:r>
      <w:r w:rsidR="004D1B0E" w:rsidRPr="002570E5">
        <w:rPr>
          <w:rFonts w:ascii="GHEA Grapalat" w:eastAsia="Calibri" w:hAnsi="GHEA Grapalat" w:cs="Sylfaen"/>
          <w:noProof/>
          <w:lang w:val="hy-AM"/>
        </w:rPr>
        <w:t>ոնց</w:t>
      </w:r>
      <w:r w:rsidRPr="004D1B0E">
        <w:rPr>
          <w:rFonts w:ascii="GHEA Grapalat" w:eastAsia="Calibri" w:hAnsi="GHEA Grapalat" w:cs="Sylfaen"/>
          <w:noProof/>
          <w:lang w:val="hy-AM"/>
        </w:rPr>
        <w:t xml:space="preserve"> համաձայն` 2025թ</w:t>
      </w:r>
      <w:r w:rsidR="004D1B0E" w:rsidRPr="002570E5">
        <w:rPr>
          <w:rFonts w:ascii="GHEA Grapalat" w:eastAsia="Calibri" w:hAnsi="GHEA Grapalat" w:cs="Sylfaen"/>
          <w:noProof/>
          <w:lang w:val="hy-AM"/>
        </w:rPr>
        <w:t xml:space="preserve">. </w:t>
      </w:r>
      <w:r w:rsidRPr="004D1B0E">
        <w:rPr>
          <w:rFonts w:ascii="GHEA Grapalat" w:eastAsia="Calibri" w:hAnsi="GHEA Grapalat" w:cs="Sylfaen"/>
          <w:noProof/>
          <w:lang w:val="hy-AM"/>
        </w:rPr>
        <w:t>հունվարի 1-ից վերանայվել են գործունեության հիմնական տեսակների (առևտրական (առք ու վաճառքի) գործունեություն, արտադրական գործունեություն, հանրային սննդի ոլոր</w:t>
      </w:r>
      <w:r w:rsidRPr="004D1B0E">
        <w:rPr>
          <w:rFonts w:ascii="GHEA Grapalat" w:eastAsia="Calibri" w:hAnsi="GHEA Grapalat" w:cs="Sylfaen"/>
          <w:noProof/>
          <w:lang w:val="hy-AM"/>
        </w:rPr>
        <w:softHyphen/>
        <w:t>տում իրականացվող գործունեություն, այլ գործունեություն) համար սահմանված շրջանա</w:t>
      </w:r>
      <w:r w:rsidRPr="004D1B0E">
        <w:rPr>
          <w:rFonts w:ascii="GHEA Grapalat" w:eastAsia="Calibri" w:hAnsi="GHEA Grapalat" w:cs="Sylfaen"/>
          <w:noProof/>
          <w:lang w:val="hy-AM"/>
        </w:rPr>
        <w:softHyphen/>
        <w:t>ռու</w:t>
      </w:r>
      <w:r w:rsidRPr="004D1B0E">
        <w:rPr>
          <w:rFonts w:ascii="GHEA Grapalat" w:eastAsia="Calibri" w:hAnsi="GHEA Grapalat" w:cs="Sylfaen"/>
          <w:noProof/>
          <w:lang w:val="hy-AM"/>
        </w:rPr>
        <w:softHyphen/>
        <w:t>թյան հարկի դրույքաչափերը՝ միաժամանակ ընձեռելով փաստաթղթերով հիմնավորված ծախ</w:t>
      </w:r>
      <w:r w:rsidRPr="004D1B0E">
        <w:rPr>
          <w:rFonts w:ascii="GHEA Grapalat" w:eastAsia="Calibri" w:hAnsi="GHEA Grapalat" w:cs="Sylfaen"/>
          <w:noProof/>
          <w:lang w:val="hy-AM"/>
        </w:rPr>
        <w:softHyphen/>
        <w:t>սերի միջոցով վճարման ենթակա հարկի նվազեցման հնարավորություն,</w:t>
      </w:r>
    </w:p>
    <w:p w14:paraId="4DAD1168" w14:textId="371AD81C" w:rsidR="00BB4648" w:rsidRPr="004D1B0E" w:rsidRDefault="00BB4648" w:rsidP="004D1B0E">
      <w:pPr>
        <w:pStyle w:val="ListParagraph"/>
        <w:numPr>
          <w:ilvl w:val="2"/>
          <w:numId w:val="6"/>
        </w:numPr>
        <w:tabs>
          <w:tab w:val="left" w:pos="851"/>
        </w:tabs>
        <w:spacing w:after="0"/>
        <w:ind w:left="0" w:firstLine="567"/>
        <w:jc w:val="both"/>
        <w:rPr>
          <w:rFonts w:ascii="GHEA Grapalat" w:eastAsia="Calibri" w:hAnsi="GHEA Grapalat" w:cs="Sylfaen"/>
          <w:noProof/>
          <w:lang w:val="hy-AM" w:eastAsia="en-US"/>
        </w:rPr>
      </w:pPr>
      <w:r w:rsidRPr="004D1B0E">
        <w:rPr>
          <w:rFonts w:ascii="GHEA Grapalat" w:eastAsia="Calibri" w:hAnsi="GHEA Grapalat" w:cs="Sylfaen"/>
          <w:noProof/>
          <w:lang w:val="hy-AM"/>
        </w:rPr>
        <w:lastRenderedPageBreak/>
        <w:t>հարկման հատուկ համակարգերն ավելի հասցեական դարձնելու նպատա</w:t>
      </w:r>
      <w:r w:rsidRPr="004D1B0E">
        <w:rPr>
          <w:rFonts w:ascii="GHEA Grapalat" w:eastAsia="Calibri" w:hAnsi="GHEA Grapalat" w:cs="Sylfaen"/>
          <w:noProof/>
          <w:lang w:val="hy-AM"/>
        </w:rPr>
        <w:softHyphen/>
        <w:t>կա</w:t>
      </w:r>
      <w:r w:rsidRPr="004D1B0E">
        <w:rPr>
          <w:rFonts w:ascii="GHEA Grapalat" w:eastAsia="Calibri" w:hAnsi="GHEA Grapalat" w:cs="Sylfaen"/>
          <w:noProof/>
          <w:lang w:val="hy-AM"/>
        </w:rPr>
        <w:softHyphen/>
        <w:t>դրում</w:t>
      </w:r>
      <w:r w:rsidRPr="004D1B0E">
        <w:rPr>
          <w:rFonts w:ascii="GHEA Grapalat" w:eastAsia="Calibri" w:hAnsi="GHEA Grapalat" w:cs="Sylfaen"/>
          <w:noProof/>
          <w:lang w:val="hy-AM"/>
        </w:rPr>
        <w:softHyphen/>
        <w:t>նե</w:t>
      </w:r>
      <w:r w:rsidRPr="004D1B0E">
        <w:rPr>
          <w:rFonts w:ascii="GHEA Grapalat" w:eastAsia="Calibri" w:hAnsi="GHEA Grapalat" w:cs="Sylfaen"/>
          <w:noProof/>
          <w:lang w:val="hy-AM"/>
        </w:rPr>
        <w:softHyphen/>
        <w:t>րից ելնելով</w:t>
      </w:r>
      <w:r w:rsidR="00E046E4" w:rsidRPr="002570E5">
        <w:rPr>
          <w:rFonts w:ascii="GHEA Grapalat" w:eastAsia="Calibri" w:hAnsi="GHEA Grapalat" w:cs="Sylfaen"/>
          <w:noProof/>
          <w:lang w:val="hy-AM"/>
        </w:rPr>
        <w:t>՝</w:t>
      </w:r>
      <w:r w:rsidRPr="004D1B0E">
        <w:rPr>
          <w:rFonts w:ascii="GHEA Grapalat" w:eastAsia="Calibri" w:hAnsi="GHEA Grapalat" w:cs="Sylfaen"/>
          <w:noProof/>
          <w:lang w:val="hy-AM"/>
        </w:rPr>
        <w:t xml:space="preserve"> ընդլայնվել է միկրոձեռնարկատիրության և շրջա</w:t>
      </w:r>
      <w:r w:rsidRPr="004D1B0E">
        <w:rPr>
          <w:rFonts w:ascii="GHEA Grapalat" w:eastAsia="Calibri" w:hAnsi="GHEA Grapalat" w:cs="Sylfaen"/>
          <w:noProof/>
          <w:lang w:val="hy-AM"/>
        </w:rPr>
        <w:softHyphen/>
        <w:t>նառության հարկով հարկման համակարգերում գործելու առումով արգելված գործունեութ</w:t>
      </w:r>
      <w:r w:rsidRPr="004D1B0E">
        <w:rPr>
          <w:rFonts w:ascii="GHEA Grapalat" w:eastAsia="Calibri" w:hAnsi="GHEA Grapalat" w:cs="Sylfaen"/>
          <w:noProof/>
          <w:lang w:val="hy-AM"/>
        </w:rPr>
        <w:softHyphen/>
        <w:t>յան տեսակների շրջանակը,</w:t>
      </w:r>
    </w:p>
    <w:p w14:paraId="03818E76" w14:textId="77777777" w:rsidR="00BB4648" w:rsidRPr="004D1B0E" w:rsidRDefault="00BB4648" w:rsidP="004D1B0E">
      <w:pPr>
        <w:pStyle w:val="ListParagraph"/>
        <w:numPr>
          <w:ilvl w:val="2"/>
          <w:numId w:val="6"/>
        </w:numPr>
        <w:tabs>
          <w:tab w:val="left" w:pos="851"/>
        </w:tabs>
        <w:spacing w:after="0"/>
        <w:ind w:left="0" w:firstLine="567"/>
        <w:jc w:val="both"/>
        <w:rPr>
          <w:rFonts w:ascii="GHEA Grapalat" w:eastAsia="Calibri" w:hAnsi="GHEA Grapalat" w:cs="Sylfaen"/>
          <w:noProof/>
          <w:lang w:val="hy-AM"/>
        </w:rPr>
      </w:pPr>
      <w:r w:rsidRPr="004D1B0E">
        <w:rPr>
          <w:rFonts w:ascii="GHEA Grapalat" w:eastAsia="Calibri" w:hAnsi="GHEA Grapalat" w:cs="Sylfaen"/>
          <w:noProof/>
          <w:lang w:val="hy-AM"/>
        </w:rPr>
        <w:t>սահմանվել են կարգավորումներ, որոնց համաձայն՝ հիպոտեկա</w:t>
      </w:r>
      <w:r w:rsidRPr="004D1B0E">
        <w:rPr>
          <w:rFonts w:ascii="GHEA Grapalat" w:eastAsia="Calibri" w:hAnsi="GHEA Grapalat" w:cs="Sylfaen"/>
          <w:noProof/>
          <w:lang w:val="hy-AM"/>
        </w:rPr>
        <w:softHyphen/>
        <w:t>յին վարկի սպա</w:t>
      </w:r>
      <w:r w:rsidRPr="004D1B0E">
        <w:rPr>
          <w:rFonts w:ascii="GHEA Grapalat" w:eastAsia="Calibri" w:hAnsi="GHEA Grapalat" w:cs="Sylfaen"/>
          <w:noProof/>
          <w:lang w:val="hy-AM"/>
        </w:rPr>
        <w:softHyphen/>
        <w:t>սարկ</w:t>
      </w:r>
      <w:r w:rsidRPr="004D1B0E">
        <w:rPr>
          <w:rFonts w:ascii="GHEA Grapalat" w:eastAsia="Calibri" w:hAnsi="GHEA Grapalat" w:cs="Sylfaen"/>
          <w:noProof/>
          <w:lang w:val="hy-AM"/>
        </w:rPr>
        <w:softHyphen/>
      </w:r>
      <w:r w:rsidRPr="004D1B0E">
        <w:rPr>
          <w:rFonts w:ascii="GHEA Grapalat" w:eastAsia="Calibri" w:hAnsi="GHEA Grapalat" w:cs="Sylfaen"/>
          <w:noProof/>
          <w:lang w:val="hy-AM"/>
        </w:rPr>
        <w:softHyphen/>
        <w:t>ման համար վարձու աշխատող հանդիսացող ֆիզիկական անձի կողմից վճարված տոկոս</w:t>
      </w:r>
      <w:r w:rsidRPr="004D1B0E">
        <w:rPr>
          <w:rFonts w:ascii="GHEA Grapalat" w:eastAsia="Calibri" w:hAnsi="GHEA Grapalat" w:cs="Sylfaen"/>
          <w:noProof/>
          <w:lang w:val="hy-AM"/>
        </w:rPr>
        <w:softHyphen/>
        <w:t>ների գումար</w:t>
      </w:r>
      <w:r w:rsidRPr="004D1B0E">
        <w:rPr>
          <w:rFonts w:ascii="GHEA Grapalat" w:eastAsia="Calibri" w:hAnsi="GHEA Grapalat" w:cs="Sylfaen"/>
          <w:noProof/>
          <w:lang w:val="hy-AM"/>
        </w:rPr>
        <w:softHyphen/>
        <w:t>ների չափով եկամտային հարկի վերադարձման համակարգի կիրա</w:t>
      </w:r>
      <w:r w:rsidRPr="004D1B0E">
        <w:rPr>
          <w:rFonts w:ascii="GHEA Grapalat" w:eastAsia="Calibri" w:hAnsi="GHEA Grapalat" w:cs="Sylfaen"/>
          <w:noProof/>
          <w:lang w:val="hy-AM"/>
        </w:rPr>
        <w:softHyphen/>
        <w:t>ռու</w:t>
      </w:r>
      <w:r w:rsidRPr="004D1B0E">
        <w:rPr>
          <w:rFonts w:ascii="GHEA Grapalat" w:eastAsia="Calibri" w:hAnsi="GHEA Grapalat" w:cs="Sylfaen"/>
          <w:noProof/>
          <w:lang w:val="hy-AM"/>
        </w:rPr>
        <w:softHyphen/>
        <w:t>թյան շրջա</w:t>
      </w:r>
      <w:r w:rsidRPr="004D1B0E">
        <w:rPr>
          <w:rFonts w:ascii="GHEA Grapalat" w:eastAsia="Calibri" w:hAnsi="GHEA Grapalat" w:cs="Sylfaen"/>
          <w:noProof/>
          <w:lang w:val="hy-AM"/>
        </w:rPr>
        <w:softHyphen/>
        <w:t>նակն ըստ մարզերի և ըստ տարիների աստիճանաբար կրճատվելու է։</w:t>
      </w:r>
    </w:p>
    <w:p w14:paraId="1C4309E1" w14:textId="64D8AADB" w:rsidR="00BB4648" w:rsidRDefault="00BB4648" w:rsidP="00FB2613">
      <w:pPr>
        <w:spacing w:after="0" w:line="276" w:lineRule="auto"/>
        <w:ind w:firstLine="567"/>
        <w:jc w:val="both"/>
        <w:rPr>
          <w:rFonts w:ascii="GHEA Grapalat" w:eastAsia="Calibri" w:hAnsi="GHEA Grapalat" w:cs="Sylfaen"/>
          <w:noProof/>
          <w:lang w:val="hy-AM"/>
        </w:rPr>
      </w:pPr>
      <w:r w:rsidRPr="00FB2613">
        <w:rPr>
          <w:rFonts w:ascii="GHEA Grapalat" w:eastAsia="Calibri" w:hAnsi="GHEA Grapalat" w:cs="Sylfaen"/>
          <w:noProof/>
          <w:lang w:val="hy-AM"/>
        </w:rPr>
        <w:t>Հարկային օրենսդրության բարելավման միջոցով ներդրողների համար արդար, ընկա</w:t>
      </w:r>
      <w:r w:rsidRPr="00FB2613">
        <w:rPr>
          <w:rFonts w:ascii="GHEA Grapalat" w:eastAsia="Calibri" w:hAnsi="GHEA Grapalat" w:cs="Sylfaen"/>
          <w:noProof/>
          <w:lang w:val="hy-AM"/>
        </w:rPr>
        <w:softHyphen/>
        <w:t>լելի և կանխատեսելի միջավայրի ձևավորման ծրագրային դրույթի իրագործման աշխա</w:t>
      </w:r>
      <w:r w:rsidRPr="00FB2613">
        <w:rPr>
          <w:rFonts w:ascii="GHEA Grapalat" w:eastAsia="Calibri" w:hAnsi="GHEA Grapalat" w:cs="Sylfaen"/>
          <w:noProof/>
          <w:lang w:val="hy-AM"/>
        </w:rPr>
        <w:softHyphen/>
        <w:t>տանքների շրջանակներում վերանայվել է բարձր տեխնոլոգիական ոլորտի, ինչպես նաև գիտահետազոտական աշխատանքների համար առկա հարկային արտոնությունների շրջա</w:t>
      </w:r>
      <w:r w:rsidRPr="00FB2613">
        <w:rPr>
          <w:rFonts w:ascii="GHEA Grapalat" w:eastAsia="Calibri" w:hAnsi="GHEA Grapalat" w:cs="Sylfaen"/>
          <w:noProof/>
          <w:lang w:val="hy-AM"/>
        </w:rPr>
        <w:softHyphen/>
        <w:t>նակը, մասնավորապես՝ տրամադրվել են նոր հարկային արտոնություններ:</w:t>
      </w:r>
    </w:p>
    <w:p w14:paraId="671F9243" w14:textId="413AF419" w:rsidR="006E17B2" w:rsidRDefault="006E17B2" w:rsidP="00FB2613">
      <w:pPr>
        <w:spacing w:after="0" w:line="276" w:lineRule="auto"/>
        <w:ind w:firstLine="567"/>
        <w:jc w:val="both"/>
        <w:rPr>
          <w:rFonts w:ascii="GHEA Grapalat" w:eastAsia="Calibri" w:hAnsi="GHEA Grapalat" w:cs="Sylfaen"/>
          <w:noProof/>
          <w:lang w:val="hy-AM"/>
        </w:rPr>
      </w:pPr>
    </w:p>
    <w:p w14:paraId="0DB3422B" w14:textId="1214F751" w:rsidR="006E17B2" w:rsidRPr="001F601A" w:rsidRDefault="006E17B2" w:rsidP="001F601A">
      <w:pPr>
        <w:pStyle w:val="Heading3"/>
        <w:numPr>
          <w:ilvl w:val="2"/>
          <w:numId w:val="17"/>
        </w:numPr>
        <w:spacing w:before="0" w:after="240"/>
        <w:ind w:left="709" w:hanging="709"/>
        <w:rPr>
          <w:rFonts w:ascii="GHEA Grapalat" w:hAnsi="GHEA Grapalat"/>
          <w:b/>
          <w:color w:val="auto"/>
        </w:rPr>
      </w:pPr>
      <w:r w:rsidRPr="001F601A">
        <w:rPr>
          <w:rFonts w:ascii="GHEA Grapalat" w:hAnsi="GHEA Grapalat"/>
          <w:b/>
          <w:color w:val="auto"/>
        </w:rPr>
        <w:t>Պետական պարտքի կառավարում</w:t>
      </w:r>
    </w:p>
    <w:p w14:paraId="021C461C" w14:textId="6E566501" w:rsidR="006E17B2" w:rsidRDefault="006E17B2" w:rsidP="00B90831">
      <w:pPr>
        <w:spacing w:after="0" w:line="276" w:lineRule="auto"/>
        <w:ind w:firstLine="567"/>
        <w:jc w:val="both"/>
        <w:rPr>
          <w:rFonts w:ascii="GHEA Grapalat" w:eastAsia="Times New Roman" w:hAnsi="GHEA Grapalat"/>
          <w:lang w:val="hy-AM"/>
        </w:rPr>
      </w:pPr>
      <w:r w:rsidRPr="006E17B2">
        <w:rPr>
          <w:rFonts w:ascii="GHEA Grapalat" w:eastAsia="Calibri" w:hAnsi="GHEA Grapalat" w:cs="Sylfaen"/>
          <w:noProof/>
          <w:lang w:val="hy-AM"/>
        </w:rPr>
        <w:t>ՀՀ կառավարության 2021</w:t>
      </w:r>
      <w:r w:rsidR="00B90831" w:rsidRPr="002570E5">
        <w:rPr>
          <w:rFonts w:ascii="GHEA Grapalat" w:eastAsia="Calibri" w:hAnsi="GHEA Grapalat" w:cs="Sylfaen"/>
          <w:noProof/>
          <w:lang w:val="hy-AM"/>
        </w:rPr>
        <w:t>-2026թ</w:t>
      </w:r>
      <w:r w:rsidRPr="006E17B2">
        <w:rPr>
          <w:rFonts w:ascii="GHEA Grapalat" w:eastAsia="Calibri" w:hAnsi="GHEA Grapalat" w:cs="Sylfaen"/>
          <w:noProof/>
          <w:lang w:val="hy-AM"/>
        </w:rPr>
        <w:t xml:space="preserve">թ. </w:t>
      </w:r>
      <w:r w:rsidR="00B90831" w:rsidRPr="002570E5">
        <w:rPr>
          <w:rFonts w:ascii="GHEA Grapalat" w:eastAsia="Calibri" w:hAnsi="GHEA Grapalat" w:cs="Sylfaen"/>
          <w:noProof/>
          <w:lang w:val="hy-AM"/>
        </w:rPr>
        <w:t xml:space="preserve">ծրագրի համաձայն </w:t>
      </w:r>
      <w:r>
        <w:rPr>
          <w:rFonts w:ascii="GHEA Grapalat" w:eastAsia="Times New Roman" w:hAnsi="GHEA Grapalat"/>
          <w:lang w:val="hy-AM"/>
        </w:rPr>
        <w:t>ՀՀ կառավարությունը հանձնառել է պետական ֆինանսների կայունությունն ամրապնդելու համար պետական բյուջեի պակասուրդի ֆինանսավորումն ավելի մեծ չափով ապահովել դրամով փոխառությունների հաշվին: Դա թույլ կտա նվազեցնել պարտքի զգայունությունը փոխարժեքի տատանումներից, ինչպես նաև բարձրացնել ֆինանսների հասանելիությունը, որոնք անհրաժեշտ են տարաբնույթ ցնցումներին դիմակայելու հարցում Հ</w:t>
      </w:r>
      <w:r w:rsidR="00B90831">
        <w:rPr>
          <w:rFonts w:ascii="GHEA Grapalat" w:eastAsia="Times New Roman" w:hAnsi="GHEA Grapalat"/>
          <w:lang w:val="hy-AM"/>
        </w:rPr>
        <w:t>Հ կառավարության կարողությունները</w:t>
      </w:r>
      <w:r>
        <w:rPr>
          <w:rFonts w:ascii="GHEA Grapalat" w:eastAsia="Times New Roman" w:hAnsi="GHEA Grapalat"/>
          <w:lang w:val="hy-AM"/>
        </w:rPr>
        <w:t xml:space="preserve"> նոր մակարդակի բարձրացնելու համար: </w:t>
      </w:r>
    </w:p>
    <w:p w14:paraId="11BA4963" w14:textId="519C75DF" w:rsidR="006E17B2" w:rsidRDefault="006E17B2" w:rsidP="00B90831">
      <w:pPr>
        <w:spacing w:after="0" w:line="276" w:lineRule="auto"/>
        <w:ind w:firstLine="567"/>
        <w:jc w:val="both"/>
        <w:rPr>
          <w:rFonts w:ascii="GHEA Grapalat" w:eastAsia="Times New Roman" w:hAnsi="GHEA Grapalat"/>
          <w:lang w:val="hy-AM"/>
        </w:rPr>
      </w:pPr>
      <w:r>
        <w:rPr>
          <w:rFonts w:ascii="GHEA Grapalat" w:eastAsia="Times New Roman" w:hAnsi="GHEA Grapalat"/>
          <w:lang w:val="hy-AM"/>
        </w:rPr>
        <w:t>Պետական ֆինանսների կայունության ապահովման և ՀՀ կ</w:t>
      </w:r>
      <w:r w:rsidRPr="00C14519">
        <w:rPr>
          <w:rFonts w:ascii="GHEA Grapalat" w:eastAsia="Times New Roman" w:hAnsi="GHEA Grapalat"/>
          <w:lang w:val="hy-AM"/>
        </w:rPr>
        <w:t xml:space="preserve">առավարության պարտքի պորտֆելի փոխարժեքի ռիսկի կառավարման նպատակով </w:t>
      </w:r>
      <w:r>
        <w:rPr>
          <w:rFonts w:ascii="GHEA Grapalat" w:eastAsia="Times New Roman" w:hAnsi="GHEA Grapalat"/>
          <w:lang w:val="hy-AM"/>
        </w:rPr>
        <w:t xml:space="preserve">2024թ. </w:t>
      </w:r>
      <w:r w:rsidRPr="00C14519">
        <w:rPr>
          <w:rFonts w:ascii="GHEA Grapalat" w:eastAsia="Times New Roman" w:hAnsi="GHEA Grapalat"/>
          <w:lang w:val="hy-AM"/>
        </w:rPr>
        <w:t>շարունակվել է պետական բյուջեի պակասուրդի ֆինանսավորման կառուցվածքում դրամ</w:t>
      </w:r>
      <w:r w:rsidR="00B90831">
        <w:rPr>
          <w:rFonts w:ascii="GHEA Grapalat" w:eastAsia="Times New Roman" w:hAnsi="GHEA Grapalat"/>
          <w:lang w:val="hy-AM"/>
        </w:rPr>
        <w:t>ով փոխառությունների ավելացումը:</w:t>
      </w:r>
    </w:p>
    <w:p w14:paraId="7A62CA1E" w14:textId="3AF0E67F" w:rsidR="005A67A1" w:rsidRDefault="005A67A1" w:rsidP="00B90831">
      <w:pPr>
        <w:spacing w:after="0" w:line="276" w:lineRule="auto"/>
        <w:ind w:firstLine="567"/>
        <w:jc w:val="both"/>
        <w:rPr>
          <w:rFonts w:ascii="GHEA Grapalat" w:eastAsia="Times New Roman" w:hAnsi="GHEA Grapalat"/>
          <w:lang w:val="hy-AM"/>
        </w:rPr>
      </w:pPr>
    </w:p>
    <w:p w14:paraId="6B5C2449" w14:textId="6155FECC" w:rsidR="005A67A1" w:rsidRPr="00163DAB" w:rsidRDefault="005A67A1" w:rsidP="005A67A1">
      <w:pPr>
        <w:spacing w:after="0" w:line="276" w:lineRule="auto"/>
        <w:jc w:val="both"/>
        <w:rPr>
          <w:rFonts w:ascii="GHEA Grapalat" w:eastAsia="GHEA Grapalat" w:hAnsi="GHEA Grapalat" w:cs="GHEA Grapalat"/>
          <w:b/>
          <w:noProof/>
          <w:sz w:val="18"/>
          <w:szCs w:val="18"/>
          <w:lang w:val="hy-AM"/>
        </w:rPr>
      </w:pPr>
      <w:r w:rsidRPr="00163DAB">
        <w:rPr>
          <w:rFonts w:ascii="GHEA Grapalat" w:eastAsia="GHEA Grapalat" w:hAnsi="GHEA Grapalat" w:cs="GHEA Grapalat"/>
          <w:b/>
          <w:noProof/>
          <w:sz w:val="18"/>
          <w:szCs w:val="18"/>
          <w:lang w:val="hy-AM"/>
        </w:rPr>
        <w:t xml:space="preserve">Աղյուսակ </w:t>
      </w:r>
      <w:r w:rsidRPr="005A67A1">
        <w:rPr>
          <w:rFonts w:ascii="GHEA Grapalat" w:eastAsia="GHEA Grapalat" w:hAnsi="GHEA Grapalat" w:cs="GHEA Grapalat"/>
          <w:b/>
          <w:noProof/>
          <w:sz w:val="18"/>
          <w:szCs w:val="18"/>
          <w:lang w:val="hy-AM"/>
        </w:rPr>
        <w:t>1</w:t>
      </w:r>
      <w:r w:rsidRPr="00163DAB">
        <w:rPr>
          <w:rFonts w:ascii="GHEA Grapalat" w:eastAsia="GHEA Grapalat" w:hAnsi="GHEA Grapalat" w:cs="GHEA Grapalat"/>
          <w:b/>
          <w:noProof/>
          <w:sz w:val="18"/>
          <w:szCs w:val="18"/>
          <w:lang w:val="hy-AM"/>
        </w:rPr>
        <w:t xml:space="preserve">. </w:t>
      </w:r>
      <w:r w:rsidRPr="005A67A1">
        <w:rPr>
          <w:rFonts w:ascii="GHEA Grapalat" w:eastAsia="GHEA Grapalat" w:hAnsi="GHEA Grapalat" w:cs="GHEA Grapalat"/>
          <w:b/>
          <w:noProof/>
          <w:sz w:val="18"/>
          <w:szCs w:val="18"/>
          <w:lang w:val="hy-AM"/>
        </w:rPr>
        <w:t>Պետական բյուջեի պակասուրդի ֆինանսավորումը փոխառու զուտ միջոցների հաշվին, առանց մուրհակների (մլրդ ՀՀ դրամ)</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119"/>
        <w:gridCol w:w="3118"/>
      </w:tblGrid>
      <w:tr w:rsidR="005A67A1" w:rsidRPr="00163DAB" w14:paraId="35C9C5F8" w14:textId="77777777" w:rsidTr="006E0FBE">
        <w:trPr>
          <w:trHeight w:val="398"/>
          <w:jc w:val="center"/>
        </w:trPr>
        <w:tc>
          <w:tcPr>
            <w:tcW w:w="3969" w:type="dxa"/>
            <w:shd w:val="clear" w:color="auto" w:fill="D9E2F3" w:themeFill="accent5" w:themeFillTint="33"/>
            <w:noWrap/>
            <w:hideMark/>
          </w:tcPr>
          <w:p w14:paraId="56F35D5C" w14:textId="77777777" w:rsidR="005A67A1" w:rsidRPr="00F80230" w:rsidRDefault="005A67A1" w:rsidP="00330078">
            <w:pPr>
              <w:spacing w:after="0" w:line="276" w:lineRule="auto"/>
              <w:rPr>
                <w:rFonts w:ascii="GHEA Grapalat" w:eastAsia="Calibri" w:hAnsi="GHEA Grapalat" w:cs="Times New Roman"/>
                <w:b/>
                <w:bCs/>
                <w:noProof/>
                <w:sz w:val="20"/>
                <w:szCs w:val="20"/>
                <w:lang w:val="hy-AM"/>
              </w:rPr>
            </w:pPr>
            <w:r w:rsidRPr="00F80230">
              <w:rPr>
                <w:rFonts w:ascii="Calibri" w:eastAsia="Calibri" w:hAnsi="Calibri" w:cs="Calibri"/>
                <w:b/>
                <w:bCs/>
                <w:noProof/>
                <w:sz w:val="20"/>
                <w:szCs w:val="20"/>
                <w:lang w:val="hy-AM"/>
              </w:rPr>
              <w:t> </w:t>
            </w:r>
          </w:p>
        </w:tc>
        <w:tc>
          <w:tcPr>
            <w:tcW w:w="3119" w:type="dxa"/>
            <w:shd w:val="clear" w:color="auto" w:fill="D9E2F3" w:themeFill="accent5" w:themeFillTint="33"/>
            <w:hideMark/>
          </w:tcPr>
          <w:p w14:paraId="47968EE2" w14:textId="7CC689A4" w:rsidR="005A67A1" w:rsidRPr="005A67A1" w:rsidRDefault="005A67A1" w:rsidP="00330078">
            <w:pPr>
              <w:spacing w:after="0" w:line="276" w:lineRule="auto"/>
              <w:jc w:val="center"/>
              <w:rPr>
                <w:rFonts w:ascii="GHEA Grapalat" w:eastAsia="Calibri" w:hAnsi="GHEA Grapalat" w:cs="Times New Roman"/>
                <w:noProof/>
                <w:sz w:val="18"/>
                <w:szCs w:val="18"/>
              </w:rPr>
            </w:pPr>
            <w:r>
              <w:rPr>
                <w:rFonts w:ascii="GHEA Grapalat" w:eastAsia="Calibri" w:hAnsi="GHEA Grapalat" w:cs="Times New Roman"/>
                <w:noProof/>
                <w:sz w:val="18"/>
                <w:szCs w:val="18"/>
              </w:rPr>
              <w:t>2024թ. ծրագիր</w:t>
            </w:r>
          </w:p>
        </w:tc>
        <w:tc>
          <w:tcPr>
            <w:tcW w:w="3118" w:type="dxa"/>
            <w:shd w:val="clear" w:color="auto" w:fill="D9E2F3" w:themeFill="accent5" w:themeFillTint="33"/>
            <w:hideMark/>
          </w:tcPr>
          <w:p w14:paraId="75F43CB4" w14:textId="4FB62FF9" w:rsidR="005A67A1" w:rsidRPr="005A67A1" w:rsidRDefault="005A67A1" w:rsidP="005A67A1">
            <w:pPr>
              <w:spacing w:after="0" w:line="276" w:lineRule="auto"/>
              <w:jc w:val="center"/>
              <w:rPr>
                <w:rFonts w:ascii="GHEA Grapalat" w:eastAsia="Calibri" w:hAnsi="GHEA Grapalat" w:cs="Times New Roman"/>
                <w:noProof/>
                <w:sz w:val="18"/>
                <w:szCs w:val="18"/>
              </w:rPr>
            </w:pPr>
            <w:r w:rsidRPr="00F80230">
              <w:rPr>
                <w:rFonts w:ascii="GHEA Grapalat" w:eastAsia="Calibri" w:hAnsi="GHEA Grapalat" w:cs="Times New Roman"/>
                <w:noProof/>
                <w:sz w:val="18"/>
                <w:szCs w:val="18"/>
                <w:lang w:val="hy-AM"/>
              </w:rPr>
              <w:t>2024թ</w:t>
            </w:r>
            <w:r w:rsidRPr="00F80230">
              <w:rPr>
                <w:rFonts w:ascii="GHEA Grapalat" w:eastAsia="Calibri" w:hAnsi="GHEA Grapalat" w:cs="Times New Roman"/>
                <w:noProof/>
                <w:sz w:val="18"/>
                <w:szCs w:val="18"/>
              </w:rPr>
              <w:t>.</w:t>
            </w:r>
            <w:r w:rsidRPr="00F80230">
              <w:rPr>
                <w:rFonts w:ascii="GHEA Grapalat" w:eastAsia="Calibri" w:hAnsi="GHEA Grapalat" w:cs="Times New Roman"/>
                <w:noProof/>
                <w:sz w:val="18"/>
                <w:szCs w:val="18"/>
                <w:lang w:val="hy-AM"/>
              </w:rPr>
              <w:t xml:space="preserve"> </w:t>
            </w:r>
            <w:r>
              <w:rPr>
                <w:rFonts w:ascii="GHEA Grapalat" w:eastAsia="Calibri" w:hAnsi="GHEA Grapalat" w:cs="Times New Roman"/>
                <w:noProof/>
                <w:sz w:val="18"/>
                <w:szCs w:val="18"/>
              </w:rPr>
              <w:t>փաստացի</w:t>
            </w:r>
          </w:p>
        </w:tc>
      </w:tr>
      <w:tr w:rsidR="00752D7F" w:rsidRPr="00163DAB" w14:paraId="0C7294DD" w14:textId="77777777" w:rsidTr="006E0FBE">
        <w:trPr>
          <w:trHeight w:val="365"/>
          <w:jc w:val="center"/>
        </w:trPr>
        <w:tc>
          <w:tcPr>
            <w:tcW w:w="3969" w:type="dxa"/>
            <w:shd w:val="clear" w:color="auto" w:fill="FFFFFF"/>
            <w:hideMark/>
          </w:tcPr>
          <w:p w14:paraId="18BC893F" w14:textId="22A5295F" w:rsidR="00752D7F" w:rsidRPr="00752D7F" w:rsidRDefault="00752D7F" w:rsidP="00752D7F">
            <w:pPr>
              <w:spacing w:after="0" w:line="276" w:lineRule="auto"/>
              <w:rPr>
                <w:rFonts w:ascii="GHEA Grapalat" w:eastAsia="Times New Roman" w:hAnsi="GHEA Grapalat"/>
                <w:sz w:val="18"/>
                <w:lang w:val="hy-AM"/>
              </w:rPr>
            </w:pPr>
            <w:r w:rsidRPr="00151F04">
              <w:rPr>
                <w:rFonts w:ascii="GHEA Grapalat" w:eastAsia="Times New Roman" w:hAnsi="GHEA Grapalat"/>
                <w:sz w:val="18"/>
                <w:lang w:val="hy-AM"/>
              </w:rPr>
              <w:t>Ներքին աղբյուրներ</w:t>
            </w:r>
          </w:p>
        </w:tc>
        <w:tc>
          <w:tcPr>
            <w:tcW w:w="3119" w:type="dxa"/>
            <w:shd w:val="clear" w:color="auto" w:fill="FFFFFF"/>
            <w:noWrap/>
            <w:hideMark/>
          </w:tcPr>
          <w:p w14:paraId="18B2FCA4" w14:textId="1019C3D4" w:rsidR="00752D7F" w:rsidRPr="00F80230" w:rsidRDefault="00752D7F" w:rsidP="00752D7F">
            <w:pPr>
              <w:spacing w:after="0" w:line="276" w:lineRule="auto"/>
              <w:jc w:val="right"/>
              <w:rPr>
                <w:rFonts w:ascii="GHEA Grapalat" w:eastAsia="Times New Roman" w:hAnsi="GHEA Grapalat" w:cs="Arial"/>
                <w:b/>
                <w:noProof/>
                <w:sz w:val="18"/>
                <w:szCs w:val="18"/>
                <w:lang w:val="hy-AM"/>
              </w:rPr>
            </w:pPr>
            <w:r w:rsidRPr="00151F04">
              <w:rPr>
                <w:rFonts w:ascii="GHEA Grapalat" w:eastAsia="Times New Roman" w:hAnsi="GHEA Grapalat" w:cs="Calibri"/>
                <w:color w:val="000000"/>
                <w:sz w:val="18"/>
              </w:rPr>
              <w:t>350.</w:t>
            </w:r>
            <w:r w:rsidRPr="00151F04">
              <w:rPr>
                <w:rFonts w:ascii="GHEA Grapalat" w:eastAsia="Times New Roman" w:hAnsi="GHEA Grapalat" w:cs="Calibri"/>
                <w:color w:val="000000"/>
                <w:sz w:val="18"/>
                <w:lang w:val="hy-AM"/>
              </w:rPr>
              <w:t>8</w:t>
            </w:r>
          </w:p>
        </w:tc>
        <w:tc>
          <w:tcPr>
            <w:tcW w:w="3118" w:type="dxa"/>
            <w:shd w:val="clear" w:color="auto" w:fill="FFFFFF"/>
            <w:noWrap/>
            <w:hideMark/>
          </w:tcPr>
          <w:p w14:paraId="2592D142" w14:textId="3A652527" w:rsidR="00752D7F" w:rsidRPr="00F80230" w:rsidRDefault="00752D7F" w:rsidP="00752D7F">
            <w:pPr>
              <w:spacing w:after="0" w:line="276" w:lineRule="auto"/>
              <w:jc w:val="right"/>
              <w:rPr>
                <w:rFonts w:ascii="GHEA Grapalat" w:eastAsia="Times New Roman" w:hAnsi="GHEA Grapalat" w:cs="Arial"/>
                <w:b/>
                <w:noProof/>
                <w:sz w:val="18"/>
                <w:szCs w:val="18"/>
                <w:lang w:val="hy-AM"/>
              </w:rPr>
            </w:pPr>
            <w:r w:rsidRPr="00151F04">
              <w:rPr>
                <w:rFonts w:ascii="GHEA Grapalat" w:eastAsia="Times New Roman" w:hAnsi="GHEA Grapalat" w:cs="Calibri"/>
                <w:color w:val="000000"/>
                <w:sz w:val="18"/>
              </w:rPr>
              <w:t>369.0</w:t>
            </w:r>
          </w:p>
        </w:tc>
      </w:tr>
      <w:tr w:rsidR="00752D7F" w:rsidRPr="00163DAB" w14:paraId="79AA5923" w14:textId="77777777" w:rsidTr="006E0FBE">
        <w:trPr>
          <w:trHeight w:val="309"/>
          <w:jc w:val="center"/>
        </w:trPr>
        <w:tc>
          <w:tcPr>
            <w:tcW w:w="3969" w:type="dxa"/>
            <w:shd w:val="clear" w:color="auto" w:fill="FFFFFF"/>
            <w:hideMark/>
          </w:tcPr>
          <w:p w14:paraId="22C5AB7E" w14:textId="2F8FA6C1" w:rsidR="00752D7F" w:rsidRPr="00752D7F" w:rsidRDefault="00752D7F" w:rsidP="00752D7F">
            <w:pPr>
              <w:spacing w:after="0" w:line="276" w:lineRule="auto"/>
              <w:rPr>
                <w:rFonts w:ascii="GHEA Grapalat" w:eastAsia="Times New Roman" w:hAnsi="GHEA Grapalat"/>
                <w:sz w:val="18"/>
                <w:lang w:val="hy-AM"/>
              </w:rPr>
            </w:pPr>
            <w:r w:rsidRPr="00151F04">
              <w:rPr>
                <w:rFonts w:ascii="GHEA Grapalat" w:eastAsia="Times New Roman" w:hAnsi="GHEA Grapalat"/>
                <w:sz w:val="18"/>
                <w:lang w:val="hy-AM"/>
              </w:rPr>
              <w:t>Արտաքին աղբյուրներ</w:t>
            </w:r>
          </w:p>
        </w:tc>
        <w:tc>
          <w:tcPr>
            <w:tcW w:w="3119" w:type="dxa"/>
            <w:shd w:val="clear" w:color="auto" w:fill="FFFFFF"/>
            <w:noWrap/>
            <w:hideMark/>
          </w:tcPr>
          <w:p w14:paraId="31355B36" w14:textId="57805B16" w:rsidR="00752D7F" w:rsidRPr="00F80230" w:rsidRDefault="00752D7F" w:rsidP="00752D7F">
            <w:pPr>
              <w:spacing w:after="0" w:line="276" w:lineRule="auto"/>
              <w:jc w:val="right"/>
              <w:rPr>
                <w:rFonts w:ascii="GHEA Grapalat" w:eastAsia="Times New Roman" w:hAnsi="GHEA Grapalat" w:cs="Arial"/>
                <w:noProof/>
                <w:sz w:val="18"/>
                <w:szCs w:val="18"/>
                <w:lang w:val="hy-AM"/>
              </w:rPr>
            </w:pPr>
            <w:r w:rsidRPr="00151F04">
              <w:rPr>
                <w:rFonts w:ascii="GHEA Grapalat" w:eastAsia="Times New Roman" w:hAnsi="GHEA Grapalat" w:cs="Calibri"/>
                <w:color w:val="000000"/>
                <w:sz w:val="18"/>
              </w:rPr>
              <w:t>140.0</w:t>
            </w:r>
          </w:p>
        </w:tc>
        <w:tc>
          <w:tcPr>
            <w:tcW w:w="3118" w:type="dxa"/>
            <w:shd w:val="clear" w:color="auto" w:fill="FFFFFF"/>
            <w:noWrap/>
            <w:hideMark/>
          </w:tcPr>
          <w:p w14:paraId="66F9010E" w14:textId="359AB1B8" w:rsidR="00752D7F" w:rsidRPr="00F80230" w:rsidRDefault="00752D7F" w:rsidP="00752D7F">
            <w:pPr>
              <w:spacing w:after="0" w:line="276" w:lineRule="auto"/>
              <w:jc w:val="right"/>
              <w:rPr>
                <w:rFonts w:ascii="GHEA Grapalat" w:eastAsia="Times New Roman" w:hAnsi="GHEA Grapalat" w:cs="Arial"/>
                <w:noProof/>
                <w:sz w:val="18"/>
                <w:szCs w:val="18"/>
                <w:lang w:val="hy-AM"/>
              </w:rPr>
            </w:pPr>
            <w:r w:rsidRPr="00151F04">
              <w:rPr>
                <w:rFonts w:ascii="GHEA Grapalat" w:eastAsia="Times New Roman" w:hAnsi="GHEA Grapalat" w:cs="Calibri"/>
                <w:color w:val="000000"/>
                <w:sz w:val="18"/>
                <w:lang w:val="hy-AM"/>
              </w:rPr>
              <w:t>30.9</w:t>
            </w:r>
          </w:p>
        </w:tc>
      </w:tr>
      <w:tr w:rsidR="00752D7F" w:rsidRPr="00163DAB" w14:paraId="7A1F90C1" w14:textId="77777777" w:rsidTr="006E0FBE">
        <w:trPr>
          <w:trHeight w:val="348"/>
          <w:jc w:val="center"/>
        </w:trPr>
        <w:tc>
          <w:tcPr>
            <w:tcW w:w="3969" w:type="dxa"/>
            <w:shd w:val="clear" w:color="auto" w:fill="FFFFFF"/>
            <w:hideMark/>
          </w:tcPr>
          <w:p w14:paraId="172A98DE" w14:textId="684A3378" w:rsidR="00752D7F" w:rsidRPr="00752D7F" w:rsidRDefault="00752D7F" w:rsidP="00752D7F">
            <w:pPr>
              <w:spacing w:after="0" w:line="276" w:lineRule="auto"/>
              <w:rPr>
                <w:rFonts w:ascii="GHEA Grapalat" w:eastAsia="Times New Roman" w:hAnsi="GHEA Grapalat"/>
                <w:b/>
                <w:sz w:val="18"/>
                <w:lang w:val="hy-AM"/>
              </w:rPr>
            </w:pPr>
            <w:r w:rsidRPr="00752D7F">
              <w:rPr>
                <w:rFonts w:ascii="GHEA Grapalat" w:eastAsia="Times New Roman" w:hAnsi="GHEA Grapalat"/>
                <w:b/>
                <w:sz w:val="18"/>
                <w:lang w:val="hy-AM"/>
              </w:rPr>
              <w:t>Ընդամենը</w:t>
            </w:r>
          </w:p>
        </w:tc>
        <w:tc>
          <w:tcPr>
            <w:tcW w:w="3119" w:type="dxa"/>
            <w:shd w:val="clear" w:color="auto" w:fill="FFFFFF"/>
            <w:noWrap/>
            <w:hideMark/>
          </w:tcPr>
          <w:p w14:paraId="4435CE77" w14:textId="511D55F9" w:rsidR="00752D7F" w:rsidRPr="00F80230" w:rsidRDefault="00752D7F" w:rsidP="00752D7F">
            <w:pPr>
              <w:spacing w:after="0" w:line="276" w:lineRule="auto"/>
              <w:jc w:val="right"/>
              <w:rPr>
                <w:rFonts w:ascii="GHEA Grapalat" w:eastAsia="Times New Roman" w:hAnsi="GHEA Grapalat" w:cs="Arial"/>
                <w:noProof/>
                <w:sz w:val="18"/>
                <w:szCs w:val="18"/>
                <w:lang w:val="hy-AM"/>
              </w:rPr>
            </w:pPr>
            <w:r w:rsidRPr="00151F04">
              <w:rPr>
                <w:rFonts w:ascii="GHEA Grapalat" w:eastAsia="Times New Roman" w:hAnsi="GHEA Grapalat" w:cs="Calibri"/>
                <w:b/>
                <w:color w:val="000000"/>
                <w:sz w:val="18"/>
              </w:rPr>
              <w:t>490</w:t>
            </w:r>
            <w:r w:rsidRPr="00151F04">
              <w:rPr>
                <w:rFonts w:ascii="GHEA Grapalat" w:eastAsia="Times New Roman" w:hAnsi="GHEA Grapalat" w:cs="Calibri"/>
                <w:b/>
                <w:bCs/>
                <w:color w:val="000000"/>
                <w:sz w:val="18"/>
              </w:rPr>
              <w:t>.8</w:t>
            </w:r>
          </w:p>
        </w:tc>
        <w:tc>
          <w:tcPr>
            <w:tcW w:w="3118" w:type="dxa"/>
            <w:shd w:val="clear" w:color="auto" w:fill="FFFFFF"/>
            <w:noWrap/>
            <w:hideMark/>
          </w:tcPr>
          <w:p w14:paraId="5F3E751C" w14:textId="3189F1F4" w:rsidR="00752D7F" w:rsidRPr="00F80230" w:rsidRDefault="00752D7F" w:rsidP="00752D7F">
            <w:pPr>
              <w:spacing w:after="0" w:line="276" w:lineRule="auto"/>
              <w:jc w:val="right"/>
              <w:rPr>
                <w:rFonts w:ascii="GHEA Grapalat" w:eastAsia="Times New Roman" w:hAnsi="GHEA Grapalat" w:cs="Arial"/>
                <w:noProof/>
                <w:sz w:val="18"/>
                <w:szCs w:val="18"/>
                <w:lang w:val="hy-AM"/>
              </w:rPr>
            </w:pPr>
            <w:r w:rsidRPr="00151F04">
              <w:rPr>
                <w:rFonts w:ascii="GHEA Grapalat" w:eastAsia="Times New Roman" w:hAnsi="GHEA Grapalat" w:cs="Calibri"/>
                <w:b/>
                <w:bCs/>
                <w:color w:val="000000"/>
                <w:sz w:val="18"/>
                <w:lang w:val="hy-AM"/>
              </w:rPr>
              <w:t>399</w:t>
            </w:r>
            <w:r w:rsidRPr="00151F04">
              <w:rPr>
                <w:rFonts w:ascii="GHEA Grapalat" w:eastAsia="Times New Roman" w:hAnsi="GHEA Grapalat" w:cs="Calibri"/>
                <w:b/>
                <w:bCs/>
                <w:color w:val="000000"/>
                <w:sz w:val="18"/>
              </w:rPr>
              <w:t>.9</w:t>
            </w:r>
          </w:p>
        </w:tc>
      </w:tr>
    </w:tbl>
    <w:p w14:paraId="50455E4F" w14:textId="77777777" w:rsidR="00B17D71" w:rsidRDefault="00B17D71" w:rsidP="00B17D71">
      <w:pPr>
        <w:spacing w:after="0" w:line="276" w:lineRule="auto"/>
        <w:ind w:firstLine="567"/>
        <w:jc w:val="both"/>
        <w:rPr>
          <w:rFonts w:ascii="GHEA Grapalat" w:eastAsia="Times New Roman" w:hAnsi="GHEA Grapalat"/>
          <w:lang w:val="hy-AM"/>
        </w:rPr>
      </w:pPr>
    </w:p>
    <w:p w14:paraId="398F81BE" w14:textId="7B9133E0" w:rsidR="006E17B2" w:rsidRDefault="006E17B2" w:rsidP="00B17D71">
      <w:pPr>
        <w:spacing w:after="0" w:line="276" w:lineRule="auto"/>
        <w:ind w:firstLine="567"/>
        <w:jc w:val="both"/>
        <w:rPr>
          <w:rFonts w:ascii="GHEA Grapalat" w:eastAsia="Times New Roman" w:hAnsi="GHEA Grapalat"/>
          <w:lang w:val="hy-AM"/>
        </w:rPr>
      </w:pPr>
      <w:r w:rsidRPr="00C14519">
        <w:rPr>
          <w:rFonts w:ascii="GHEA Grapalat" w:eastAsia="Times New Roman" w:hAnsi="GHEA Grapalat"/>
          <w:lang w:val="hy-AM"/>
        </w:rPr>
        <w:t>2024թ</w:t>
      </w:r>
      <w:r w:rsidR="00B17D71" w:rsidRPr="002570E5">
        <w:rPr>
          <w:rFonts w:ascii="GHEA Grapalat" w:eastAsia="Times New Roman" w:hAnsi="GHEA Grapalat"/>
          <w:lang w:val="hy-AM"/>
        </w:rPr>
        <w:t>.</w:t>
      </w:r>
      <w:r w:rsidRPr="00C14519">
        <w:rPr>
          <w:rFonts w:ascii="GHEA Grapalat" w:eastAsia="Times New Roman" w:hAnsi="GHEA Grapalat"/>
          <w:lang w:val="hy-AM"/>
        </w:rPr>
        <w:t xml:space="preserve"> ընթացքում ներքին փոխառու միջոցների հաշվին պետական բյուջեի պակասուրդի զ</w:t>
      </w:r>
      <w:r>
        <w:rPr>
          <w:rFonts w:ascii="GHEA Grapalat" w:eastAsia="Times New Roman" w:hAnsi="GHEA Grapalat"/>
          <w:lang w:val="hy-AM"/>
        </w:rPr>
        <w:t>ուտ ֆինանսավորումը կազմել է 369</w:t>
      </w:r>
      <w:r w:rsidRPr="00C14519">
        <w:rPr>
          <w:rFonts w:ascii="GHEA Grapalat" w:eastAsia="Times New Roman" w:hAnsi="GHEA Grapalat"/>
          <w:lang w:val="hy-AM"/>
        </w:rPr>
        <w:t xml:space="preserve"> մլրդ դրամ կամ փոխառու զուտ միջոցներով ֆինանսավորման 92.3%-ը, իսկ արտաքին փոխառու միջոցների հաշվին պակասուրդի զուտ</w:t>
      </w:r>
      <w:r>
        <w:rPr>
          <w:rFonts w:ascii="GHEA Grapalat" w:eastAsia="Times New Roman" w:hAnsi="GHEA Grapalat"/>
          <w:lang w:val="hy-AM"/>
        </w:rPr>
        <w:t xml:space="preserve"> </w:t>
      </w:r>
      <w:r w:rsidRPr="00C14519">
        <w:rPr>
          <w:rFonts w:ascii="GHEA Grapalat" w:eastAsia="Times New Roman" w:hAnsi="GHEA Grapalat"/>
          <w:lang w:val="hy-AM"/>
        </w:rPr>
        <w:t>ֆինանսավորումը՝ 30.9 մլրդ դրամ կամ ընդամենը ֆինանսավորման 7.7%-ը (ինչը նշանակում է, որ պետական բյուջե</w:t>
      </w:r>
      <w:r w:rsidR="00B17D71">
        <w:rPr>
          <w:rFonts w:ascii="GHEA Grapalat" w:eastAsia="Times New Roman" w:hAnsi="GHEA Grapalat"/>
          <w:lang w:val="hy-AM"/>
        </w:rPr>
        <w:t xml:space="preserve">ի պակասուրդի ֆինանսավորումը մեծ </w:t>
      </w:r>
      <w:r w:rsidRPr="00C14519">
        <w:rPr>
          <w:rFonts w:ascii="GHEA Grapalat" w:eastAsia="Times New Roman" w:hAnsi="GHEA Grapalat"/>
          <w:lang w:val="hy-AM"/>
        </w:rPr>
        <w:t>մասամբ հիմնվել է ֆինանսավորման նե</w:t>
      </w:r>
      <w:r w:rsidR="00B17D71">
        <w:rPr>
          <w:rFonts w:ascii="GHEA Grapalat" w:eastAsia="Times New Roman" w:hAnsi="GHEA Grapalat"/>
          <w:lang w:val="hy-AM"/>
        </w:rPr>
        <w:t>րքին/դրամային աղբյուրների վրա):</w:t>
      </w:r>
    </w:p>
    <w:p w14:paraId="7E01C7B0" w14:textId="14067ED9" w:rsidR="00B17D71" w:rsidRDefault="00B17D71" w:rsidP="00B17D71">
      <w:pPr>
        <w:spacing w:after="0" w:line="276" w:lineRule="auto"/>
        <w:ind w:firstLine="567"/>
        <w:jc w:val="both"/>
        <w:rPr>
          <w:rFonts w:ascii="GHEA Grapalat" w:eastAsia="Times New Roman" w:hAnsi="GHEA Grapalat"/>
          <w:lang w:val="hy-AM"/>
        </w:rPr>
      </w:pPr>
    </w:p>
    <w:p w14:paraId="583D184F" w14:textId="3DE52129" w:rsidR="00B17D71" w:rsidRDefault="00B17D71" w:rsidP="00B17D71">
      <w:pPr>
        <w:spacing w:after="0" w:line="276" w:lineRule="auto"/>
        <w:ind w:firstLine="567"/>
        <w:jc w:val="both"/>
        <w:rPr>
          <w:rFonts w:ascii="GHEA Grapalat" w:eastAsia="Times New Roman" w:hAnsi="GHEA Grapalat"/>
          <w:lang w:val="hy-AM"/>
        </w:rPr>
      </w:pPr>
    </w:p>
    <w:p w14:paraId="1A3604E1" w14:textId="2565DD31" w:rsidR="0061427A" w:rsidRDefault="0061427A" w:rsidP="00B17D71">
      <w:pPr>
        <w:spacing w:after="0" w:line="276" w:lineRule="auto"/>
        <w:ind w:firstLine="567"/>
        <w:jc w:val="both"/>
        <w:rPr>
          <w:rFonts w:ascii="GHEA Grapalat" w:eastAsia="Times New Roman" w:hAnsi="GHEA Grapalat"/>
          <w:lang w:val="hy-AM"/>
        </w:rPr>
      </w:pPr>
    </w:p>
    <w:p w14:paraId="4FE37625" w14:textId="64383F02" w:rsidR="0061427A" w:rsidRDefault="0061427A" w:rsidP="00B17D71">
      <w:pPr>
        <w:spacing w:after="0" w:line="276" w:lineRule="auto"/>
        <w:ind w:firstLine="567"/>
        <w:jc w:val="both"/>
        <w:rPr>
          <w:rFonts w:ascii="GHEA Grapalat" w:eastAsia="Times New Roman" w:hAnsi="GHEA Grapalat"/>
          <w:lang w:val="hy-AM"/>
        </w:rPr>
      </w:pPr>
    </w:p>
    <w:p w14:paraId="487DAAF7" w14:textId="77777777" w:rsidR="00DD21CA" w:rsidRDefault="00DD21CA" w:rsidP="00B17D71">
      <w:pPr>
        <w:spacing w:after="0" w:line="276" w:lineRule="auto"/>
        <w:jc w:val="both"/>
        <w:rPr>
          <w:rFonts w:ascii="GHEA Grapalat" w:eastAsia="GHEA Grapalat" w:hAnsi="GHEA Grapalat" w:cs="GHEA Grapalat"/>
          <w:b/>
          <w:noProof/>
          <w:sz w:val="18"/>
          <w:szCs w:val="18"/>
          <w:lang w:val="hy-AM"/>
        </w:rPr>
      </w:pPr>
    </w:p>
    <w:p w14:paraId="51713269" w14:textId="0FCD0D23" w:rsidR="006E17B2" w:rsidRPr="00B17D71" w:rsidRDefault="00B17D71" w:rsidP="00B17D71">
      <w:pPr>
        <w:spacing w:after="0" w:line="276" w:lineRule="auto"/>
        <w:jc w:val="both"/>
        <w:rPr>
          <w:rFonts w:ascii="GHEA Grapalat" w:eastAsia="GHEA Grapalat" w:hAnsi="GHEA Grapalat" w:cs="GHEA Grapalat"/>
          <w:b/>
          <w:noProof/>
          <w:sz w:val="18"/>
          <w:szCs w:val="18"/>
          <w:lang w:val="hy-AM"/>
        </w:rPr>
      </w:pPr>
      <w:r w:rsidRPr="002570E5">
        <w:rPr>
          <w:rFonts w:ascii="GHEA Grapalat" w:eastAsia="GHEA Grapalat" w:hAnsi="GHEA Grapalat" w:cs="GHEA Grapalat"/>
          <w:b/>
          <w:noProof/>
          <w:sz w:val="18"/>
          <w:szCs w:val="18"/>
          <w:lang w:val="hy-AM"/>
        </w:rPr>
        <w:lastRenderedPageBreak/>
        <w:t xml:space="preserve">Գծապատկեր 9. </w:t>
      </w:r>
      <w:r w:rsidR="006E17B2" w:rsidRPr="00B17D71">
        <w:rPr>
          <w:rFonts w:ascii="GHEA Grapalat" w:eastAsia="GHEA Grapalat" w:hAnsi="GHEA Grapalat" w:cs="GHEA Grapalat"/>
          <w:b/>
          <w:noProof/>
          <w:sz w:val="18"/>
          <w:szCs w:val="18"/>
          <w:lang w:val="hy-AM"/>
        </w:rPr>
        <w:t>ՀՀ կառավարության պարտքի արժութային կառուցվածքը</w:t>
      </w:r>
    </w:p>
    <w:p w14:paraId="7EA7BE8E" w14:textId="77777777" w:rsidR="006E17B2" w:rsidRPr="00C14519" w:rsidRDefault="006E17B2" w:rsidP="006E17B2">
      <w:pPr>
        <w:spacing w:after="0" w:line="276" w:lineRule="auto"/>
        <w:ind w:hanging="90"/>
        <w:jc w:val="both"/>
        <w:rPr>
          <w:rFonts w:ascii="GHEA Grapalat" w:eastAsia="Times New Roman" w:hAnsi="GHEA Grapalat"/>
          <w:color w:val="FF0000"/>
          <w:lang w:val="hy-AM"/>
        </w:rPr>
      </w:pPr>
      <w:r w:rsidRPr="00C14519">
        <w:rPr>
          <w:rFonts w:ascii="GHEA Grapalat" w:hAnsi="GHEA Grapalat"/>
          <w:noProof/>
        </w:rPr>
        <w:drawing>
          <wp:inline distT="0" distB="0" distL="0" distR="0" wp14:anchorId="48341C4A" wp14:editId="4F92F796">
            <wp:extent cx="6562725" cy="2571750"/>
            <wp:effectExtent l="0" t="0" r="9525"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9F4785C" w14:textId="77777777" w:rsidR="00B17D71" w:rsidRDefault="00B17D71" w:rsidP="000A45B8">
      <w:pPr>
        <w:spacing w:after="0" w:line="276" w:lineRule="auto"/>
        <w:ind w:firstLine="567"/>
        <w:jc w:val="both"/>
        <w:rPr>
          <w:rFonts w:ascii="GHEA Grapalat" w:eastAsia="Times New Roman" w:hAnsi="GHEA Grapalat"/>
          <w:lang w:val="hy-AM"/>
        </w:rPr>
      </w:pPr>
    </w:p>
    <w:p w14:paraId="04465AAE" w14:textId="52B7A2FC" w:rsidR="006E17B2" w:rsidRPr="006D3CB4" w:rsidRDefault="006E17B2" w:rsidP="000A45B8">
      <w:pPr>
        <w:spacing w:after="0" w:line="276" w:lineRule="auto"/>
        <w:ind w:firstLine="567"/>
        <w:jc w:val="both"/>
        <w:rPr>
          <w:rFonts w:ascii="GHEA Grapalat" w:eastAsia="Times New Roman" w:hAnsi="GHEA Grapalat"/>
          <w:lang w:val="hy-AM"/>
        </w:rPr>
      </w:pPr>
      <w:r w:rsidRPr="00C14519">
        <w:rPr>
          <w:rFonts w:ascii="GHEA Grapalat" w:eastAsia="Times New Roman" w:hAnsi="GHEA Grapalat"/>
          <w:lang w:val="hy-AM"/>
        </w:rPr>
        <w:t xml:space="preserve">2024 թվականի տարեվերջի դրությամբ </w:t>
      </w:r>
      <w:r>
        <w:rPr>
          <w:rFonts w:ascii="GHEA Grapalat" w:eastAsia="Times New Roman" w:hAnsi="GHEA Grapalat"/>
          <w:lang w:val="hy-AM"/>
        </w:rPr>
        <w:t xml:space="preserve">ՀՀ </w:t>
      </w:r>
      <w:r w:rsidRPr="00C14519">
        <w:rPr>
          <w:rFonts w:ascii="GHEA Grapalat" w:eastAsia="Times New Roman" w:hAnsi="GHEA Grapalat"/>
          <w:lang w:val="hy-AM"/>
        </w:rPr>
        <w:t xml:space="preserve">դրամով արտահայտված պարտքի կշիռը կազմել է 50.8%՝ նախորդ տարվա համեմատ աճելով 4.8 տոկոսային կետով և գերազանցելով ՀՀ կառավարության պարտքի կառավարման 2025-2027թթ. ռազմավարությամբ սահմանված դրամային պարտքի 40% ուղենշային նվազագույն շեմը 10.8 տոկոսային կետով: Այս պայմաններում էականորեն մեղմվել է պարտքի զգայունությունը փոխարժեքի տատանումների նկատմամբ: </w:t>
      </w:r>
    </w:p>
    <w:p w14:paraId="135CDD51" w14:textId="5BCD71C4" w:rsidR="006E17B2" w:rsidRDefault="006E17B2" w:rsidP="000A45B8">
      <w:pPr>
        <w:spacing w:after="0" w:line="276" w:lineRule="auto"/>
        <w:ind w:firstLine="567"/>
        <w:jc w:val="both"/>
        <w:rPr>
          <w:rFonts w:ascii="GHEA Grapalat" w:eastAsia="Times New Roman" w:hAnsi="GHEA Grapalat"/>
          <w:lang w:val="hy-AM"/>
        </w:rPr>
      </w:pPr>
      <w:r w:rsidRPr="000A45B8">
        <w:rPr>
          <w:rFonts w:ascii="GHEA Grapalat" w:eastAsia="Times New Roman" w:hAnsi="GHEA Grapalat"/>
          <w:lang w:val="hy-AM"/>
        </w:rPr>
        <w:t>Ներքին պարտքի գործիքակազմի ընդլայն</w:t>
      </w:r>
      <w:r w:rsidR="00D96133" w:rsidRPr="002570E5">
        <w:rPr>
          <w:rFonts w:ascii="GHEA Grapalat" w:eastAsia="Times New Roman" w:hAnsi="GHEA Grapalat"/>
          <w:lang w:val="hy-AM"/>
        </w:rPr>
        <w:t xml:space="preserve">ման նպատակով </w:t>
      </w:r>
      <w:r>
        <w:rPr>
          <w:rFonts w:ascii="GHEA Grapalat" w:eastAsia="Times New Roman" w:hAnsi="GHEA Grapalat"/>
          <w:lang w:val="hy-AM"/>
        </w:rPr>
        <w:t xml:space="preserve">ՀՀ կառավարության 2024թ. </w:t>
      </w:r>
      <w:r w:rsidRPr="00C14519">
        <w:rPr>
          <w:rFonts w:ascii="GHEA Grapalat" w:eastAsia="Times New Roman" w:hAnsi="GHEA Grapalat"/>
          <w:lang w:val="hy-AM"/>
        </w:rPr>
        <w:t>ապրիլի 25-ի N 607-Ն որոշմամբ փոփոխություններ և լրացումներ են կատարվել ՀՀ</w:t>
      </w:r>
      <w:r>
        <w:rPr>
          <w:rFonts w:ascii="GHEA Grapalat" w:eastAsia="Times New Roman" w:hAnsi="GHEA Grapalat"/>
          <w:lang w:val="hy-AM"/>
        </w:rPr>
        <w:t xml:space="preserve"> կառավարության 2017թ. </w:t>
      </w:r>
      <w:r w:rsidRPr="00C14519">
        <w:rPr>
          <w:rFonts w:ascii="GHEA Grapalat" w:eastAsia="Times New Roman" w:hAnsi="GHEA Grapalat"/>
          <w:lang w:val="hy-AM"/>
        </w:rPr>
        <w:t>ապրիլի 13-ի N 381-Ն որոշման մեջ</w:t>
      </w:r>
      <w:r>
        <w:rPr>
          <w:rFonts w:ascii="GHEA Grapalat" w:eastAsia="Times New Roman" w:hAnsi="GHEA Grapalat"/>
          <w:lang w:val="hy-AM"/>
        </w:rPr>
        <w:t xml:space="preserve">, որով սահմանվում է ՀՀ պետական գանձապետական </w:t>
      </w:r>
      <w:r w:rsidRPr="00663300">
        <w:rPr>
          <w:rFonts w:ascii="GHEA Grapalat" w:eastAsia="Times New Roman" w:hAnsi="GHEA Grapalat"/>
          <w:lang w:val="hy-AM"/>
        </w:rPr>
        <w:t>պարտատոմսերի թողարկման, տեղաբաշխման, հետգնման, շրջանառ</w:t>
      </w:r>
      <w:r>
        <w:rPr>
          <w:rFonts w:ascii="GHEA Grapalat" w:eastAsia="Times New Roman" w:hAnsi="GHEA Grapalat"/>
          <w:lang w:val="hy-AM"/>
        </w:rPr>
        <w:t>ության և մարման կարգը: Նոր կարգավորումներով</w:t>
      </w:r>
      <w:r w:rsidRPr="00C14519">
        <w:rPr>
          <w:rFonts w:ascii="GHEA Grapalat" w:eastAsia="Times New Roman" w:hAnsi="GHEA Grapalat"/>
          <w:lang w:val="hy-AM"/>
        </w:rPr>
        <w:t xml:space="preserve"> ամրագրվել են նոր գործիքի՝ գանձապետական պարտատոմսերի փոխանակման գործարքների կիրառումը կարգավորող դրույթներ, ինչպես նաև սահմանվել է ՀՀ պետական գանձապետական գնաճին կցված արժեկտրոնային պարտատոմսերի թողարկման, տեղաբաշխման, շրջանառության և մարման կարգը:</w:t>
      </w:r>
    </w:p>
    <w:p w14:paraId="6CA31A48" w14:textId="6C744857" w:rsidR="006E17B2" w:rsidRDefault="006E17B2" w:rsidP="000A45B8">
      <w:pPr>
        <w:spacing w:after="0" w:line="276" w:lineRule="auto"/>
        <w:ind w:firstLine="567"/>
        <w:jc w:val="both"/>
        <w:rPr>
          <w:rFonts w:ascii="GHEA Grapalat" w:eastAsia="Times New Roman" w:hAnsi="GHEA Grapalat"/>
          <w:lang w:val="hy-AM"/>
        </w:rPr>
      </w:pPr>
      <w:r>
        <w:rPr>
          <w:rFonts w:ascii="GHEA Grapalat" w:eastAsia="Times New Roman" w:hAnsi="GHEA Grapalat"/>
          <w:lang w:val="hy-AM"/>
        </w:rPr>
        <w:t>Նոր գործիքների կիրառումը կնպաստի ներքին պարտքի շուկայի կազմի ու կառուցվածքի, ինչպես նաև վերաֆինանսավորման ռիսկի կառավարման գործընթացի բարելավմանը, իսկ գնաճին կցված պարտատոմսերի թողարկումը հնարավորություն կտա</w:t>
      </w:r>
      <w:r w:rsidR="00CE2D1A">
        <w:rPr>
          <w:rFonts w:ascii="GHEA Grapalat" w:eastAsia="Times New Roman" w:hAnsi="GHEA Grapalat"/>
          <w:lang w:val="hy-AM"/>
        </w:rPr>
        <w:t xml:space="preserve"> </w:t>
      </w:r>
      <w:r>
        <w:rPr>
          <w:rFonts w:ascii="GHEA Grapalat" w:eastAsia="Times New Roman" w:hAnsi="GHEA Grapalat"/>
          <w:lang w:val="hy-AM"/>
        </w:rPr>
        <w:t>գնահատել ներքին պետական պարտքի շուկայի մաս</w:t>
      </w:r>
      <w:r w:rsidR="00E416C9">
        <w:rPr>
          <w:rFonts w:ascii="GHEA Grapalat" w:eastAsia="Times New Roman" w:hAnsi="GHEA Grapalat"/>
          <w:lang w:val="hy-AM"/>
        </w:rPr>
        <w:t>նակիցների գնաճային սպասումները:</w:t>
      </w:r>
    </w:p>
    <w:p w14:paraId="0565AB68" w14:textId="286D79B8" w:rsidR="00E416C9" w:rsidRDefault="00E416C9" w:rsidP="000A45B8">
      <w:pPr>
        <w:spacing w:after="0" w:line="276" w:lineRule="auto"/>
        <w:ind w:firstLine="567"/>
        <w:jc w:val="both"/>
        <w:rPr>
          <w:rFonts w:ascii="GHEA Grapalat" w:eastAsia="Times New Roman" w:hAnsi="GHEA Grapalat"/>
          <w:lang w:val="hy-AM"/>
        </w:rPr>
      </w:pPr>
    </w:p>
    <w:p w14:paraId="7765AD9E" w14:textId="1CEE0CBB" w:rsidR="007B04CB" w:rsidRPr="001F601A" w:rsidRDefault="007B04CB" w:rsidP="001F601A">
      <w:pPr>
        <w:pStyle w:val="Heading3"/>
        <w:numPr>
          <w:ilvl w:val="2"/>
          <w:numId w:val="17"/>
        </w:numPr>
        <w:spacing w:before="0" w:after="240"/>
        <w:ind w:left="709" w:hanging="709"/>
        <w:rPr>
          <w:rFonts w:ascii="GHEA Grapalat" w:hAnsi="GHEA Grapalat"/>
          <w:b/>
          <w:color w:val="auto"/>
        </w:rPr>
      </w:pPr>
      <w:r w:rsidRPr="001F601A">
        <w:rPr>
          <w:rFonts w:ascii="GHEA Grapalat" w:hAnsi="GHEA Grapalat"/>
          <w:b/>
          <w:color w:val="auto"/>
        </w:rPr>
        <w:t>Պետական բյուջեի կազմման բնագավառ</w:t>
      </w:r>
    </w:p>
    <w:p w14:paraId="4409B812" w14:textId="08F8A91F" w:rsidR="00E416C9" w:rsidRPr="007B04CB" w:rsidRDefault="00E416C9" w:rsidP="007B04CB">
      <w:pPr>
        <w:spacing w:after="0" w:line="276" w:lineRule="auto"/>
        <w:ind w:firstLine="567"/>
        <w:jc w:val="both"/>
        <w:rPr>
          <w:rFonts w:ascii="GHEA Grapalat" w:eastAsia="Times New Roman" w:hAnsi="GHEA Grapalat"/>
          <w:lang w:val="hy-AM"/>
        </w:rPr>
      </w:pPr>
      <w:r w:rsidRPr="007B04CB">
        <w:rPr>
          <w:rFonts w:ascii="GHEA Grapalat" w:eastAsia="Times New Roman" w:hAnsi="GHEA Grapalat"/>
          <w:lang w:val="hy-AM"/>
        </w:rPr>
        <w:t xml:space="preserve">Պետական կառավարման համակարգում պատասխանատվության համախմբման և ռեսուրսների դիմաց առավելագույն արդյունքի ստացման նպատակով պետական բյուջեի կազմման բնագավառում իրականացվում են մի շարք քայլեր, որոնց իրագործումը թույլ կտա ապահովել հանրային կառավարման թափանցիկության, հաշվետվողականության և հսկողության բարձրացումը, ինչպես նաև պետության կողմից մատուցվող ծառայությունների որակի բարելավումը՝ հանրային բարիքի արդյունավետ, օգտավետ և խնայողաբար, հասցեական օգտագործման հաշվին: Բյուջետային վերլուծական գործիքակազմի բարելավման շրջանակում բյուջետային ծախսերի առաջնահերթությունների սահմանման նպատակով մշակվել են համապատասխան չափորոշիչներ և </w:t>
      </w:r>
      <w:r w:rsidRPr="007B04CB">
        <w:rPr>
          <w:rFonts w:ascii="GHEA Grapalat" w:eastAsia="Times New Roman" w:hAnsi="GHEA Grapalat"/>
          <w:lang w:val="hy-AM"/>
        </w:rPr>
        <w:lastRenderedPageBreak/>
        <w:t>ձևաչափեր, առաջնահերթություններ են սահմանվել</w:t>
      </w:r>
      <w:r w:rsidR="00CE2D1A">
        <w:rPr>
          <w:rFonts w:ascii="GHEA Grapalat" w:eastAsia="Times New Roman" w:hAnsi="GHEA Grapalat"/>
          <w:lang w:val="hy-AM"/>
        </w:rPr>
        <w:t xml:space="preserve"> </w:t>
      </w:r>
      <w:r w:rsidRPr="007B04CB">
        <w:rPr>
          <w:rFonts w:ascii="GHEA Grapalat" w:eastAsia="Times New Roman" w:hAnsi="GHEA Grapalat"/>
          <w:lang w:val="hy-AM"/>
        </w:rPr>
        <w:t>ըստ ընտրված վարկանիշների, մասնավորապես՝ ըստ ռազմավարության, ճկունության, հասունության և կատարողականի, ըստ ֆինանսավորման աղբյուրի և ըստ ընթացիկ և կապիտալ ծախսերի բնույթի:</w:t>
      </w:r>
    </w:p>
    <w:p w14:paraId="43E75E75" w14:textId="77447B9C" w:rsidR="00E416C9" w:rsidRPr="007B04CB" w:rsidRDefault="00E416C9" w:rsidP="007B04CB">
      <w:pPr>
        <w:spacing w:after="0" w:line="276" w:lineRule="auto"/>
        <w:ind w:firstLine="567"/>
        <w:jc w:val="both"/>
        <w:rPr>
          <w:rFonts w:ascii="GHEA Grapalat" w:eastAsia="Times New Roman" w:hAnsi="GHEA Grapalat"/>
          <w:lang w:val="hy-AM"/>
        </w:rPr>
      </w:pPr>
      <w:r w:rsidRPr="007B04CB">
        <w:rPr>
          <w:rFonts w:ascii="GHEA Grapalat" w:eastAsia="Times New Roman" w:hAnsi="GHEA Grapalat"/>
          <w:lang w:val="hy-AM"/>
        </w:rPr>
        <w:t>Վերանայվել են ծախսերի վերաբաշխման կանոնները՝ արդյունքային ցուցանիշները սահմանվել են կիսամյակային կտրվածքով՝ նվազեցնելով դրանց վերանայման արդյունքում վերաբաշխումների կարիքները:</w:t>
      </w:r>
    </w:p>
    <w:p w14:paraId="1E1F9921" w14:textId="3D36CE6C" w:rsidR="00E416C9" w:rsidRPr="007B04CB" w:rsidRDefault="00E416C9" w:rsidP="007B04CB">
      <w:pPr>
        <w:spacing w:after="0" w:line="276" w:lineRule="auto"/>
        <w:ind w:firstLine="567"/>
        <w:jc w:val="both"/>
        <w:rPr>
          <w:rFonts w:ascii="GHEA Grapalat" w:eastAsia="Times New Roman" w:hAnsi="GHEA Grapalat"/>
          <w:lang w:val="hy-AM"/>
        </w:rPr>
      </w:pPr>
      <w:r w:rsidRPr="007B04CB">
        <w:rPr>
          <w:rFonts w:ascii="GHEA Grapalat" w:eastAsia="Times New Roman" w:hAnsi="GHEA Grapalat"/>
          <w:lang w:val="hy-AM"/>
        </w:rPr>
        <w:t>Բյուջետային ծրագրերի արդյունավետությունը բարձրացնելու նպատակով ներդրվել է ծրագրերի գնահատման գործընթաց, որի իրականացման համար ստեղծվել են</w:t>
      </w:r>
      <w:r w:rsidR="00CE2D1A">
        <w:rPr>
          <w:rFonts w:ascii="GHEA Grapalat" w:eastAsia="Times New Roman" w:hAnsi="GHEA Grapalat"/>
          <w:lang w:val="hy-AM"/>
        </w:rPr>
        <w:t xml:space="preserve"> </w:t>
      </w:r>
      <w:r w:rsidRPr="007B04CB">
        <w:rPr>
          <w:rFonts w:ascii="GHEA Grapalat" w:eastAsia="Times New Roman" w:hAnsi="GHEA Grapalat"/>
          <w:lang w:val="hy-AM"/>
        </w:rPr>
        <w:t>օրենսդրական հիմքեր, ձևավորվել է մեթոդաբանական բազա և իրականացվել են աշխատանքներ անձնակազմի կարողությունների զարգացման ուղղությամբ:</w:t>
      </w:r>
    </w:p>
    <w:p w14:paraId="3D424CAC" w14:textId="7DDE78C0" w:rsidR="00E416C9" w:rsidRPr="007B04CB" w:rsidRDefault="00E416C9" w:rsidP="007B04CB">
      <w:pPr>
        <w:spacing w:after="0" w:line="276" w:lineRule="auto"/>
        <w:ind w:firstLine="567"/>
        <w:jc w:val="both"/>
        <w:rPr>
          <w:rFonts w:ascii="GHEA Grapalat" w:eastAsia="Times New Roman" w:hAnsi="GHEA Grapalat"/>
          <w:lang w:val="hy-AM"/>
        </w:rPr>
      </w:pPr>
      <w:r w:rsidRPr="007B04CB">
        <w:rPr>
          <w:rFonts w:ascii="GHEA Grapalat" w:eastAsia="Times New Roman" w:hAnsi="GHEA Grapalat"/>
          <w:lang w:val="hy-AM"/>
        </w:rPr>
        <w:t>2024թ</w:t>
      </w:r>
      <w:r w:rsidR="007B04CB" w:rsidRPr="002570E5">
        <w:rPr>
          <w:rFonts w:ascii="GHEA Grapalat" w:eastAsia="Times New Roman" w:hAnsi="GHEA Grapalat"/>
          <w:lang w:val="hy-AM"/>
        </w:rPr>
        <w:t>.</w:t>
      </w:r>
      <w:r w:rsidRPr="007B04CB">
        <w:rPr>
          <w:rFonts w:ascii="GHEA Grapalat" w:eastAsia="Times New Roman" w:hAnsi="GHEA Grapalat"/>
          <w:lang w:val="hy-AM"/>
        </w:rPr>
        <w:t xml:space="preserve"> ընթացքում իրականացվել են մի շարք միջոցառումներ, որոնց արդյունքում</w:t>
      </w:r>
      <w:r w:rsidR="00CE2D1A">
        <w:rPr>
          <w:rFonts w:ascii="GHEA Grapalat" w:eastAsia="Times New Roman" w:hAnsi="GHEA Grapalat"/>
          <w:lang w:val="hy-AM"/>
        </w:rPr>
        <w:t xml:space="preserve"> </w:t>
      </w:r>
      <w:r w:rsidRPr="007B04CB">
        <w:rPr>
          <w:rFonts w:ascii="GHEA Grapalat" w:eastAsia="Times New Roman" w:hAnsi="GHEA Grapalat"/>
          <w:lang w:val="hy-AM"/>
        </w:rPr>
        <w:t>2025թ</w:t>
      </w:r>
      <w:r w:rsidR="007B04CB" w:rsidRPr="002570E5">
        <w:rPr>
          <w:rFonts w:ascii="GHEA Grapalat" w:eastAsia="Times New Roman" w:hAnsi="GHEA Grapalat"/>
          <w:lang w:val="hy-AM"/>
        </w:rPr>
        <w:t>.</w:t>
      </w:r>
      <w:r w:rsidRPr="007B04CB">
        <w:rPr>
          <w:rFonts w:ascii="GHEA Grapalat" w:eastAsia="Times New Roman" w:hAnsi="GHEA Grapalat"/>
          <w:lang w:val="hy-AM"/>
        </w:rPr>
        <w:t xml:space="preserve"> պետական բյուջեում առաջին անգամ ներառվել են՝</w:t>
      </w:r>
    </w:p>
    <w:p w14:paraId="3384397A" w14:textId="6172D84F" w:rsidR="00E416C9" w:rsidRPr="007B04CB" w:rsidRDefault="00E416C9" w:rsidP="007B04CB">
      <w:pPr>
        <w:pStyle w:val="ListParagraph"/>
        <w:numPr>
          <w:ilvl w:val="0"/>
          <w:numId w:val="13"/>
        </w:numPr>
        <w:tabs>
          <w:tab w:val="left" w:pos="851"/>
        </w:tabs>
        <w:spacing w:after="0"/>
        <w:ind w:left="0" w:firstLine="567"/>
        <w:jc w:val="both"/>
        <w:rPr>
          <w:rFonts w:ascii="GHEA Grapalat" w:hAnsi="GHEA Grapalat"/>
          <w:lang w:val="hy-AM"/>
        </w:rPr>
      </w:pPr>
      <w:r w:rsidRPr="007B04CB">
        <w:rPr>
          <w:rFonts w:ascii="GHEA Grapalat" w:hAnsi="GHEA Grapalat"/>
          <w:lang w:val="hy-AM"/>
        </w:rPr>
        <w:t xml:space="preserve">կապիտալ ծախսերի գծով չիրացված պայմանագրային պարտավորությունների՝ հաջորդ բյուջետային տարի տեղափոխման մեխանիզմ, </w:t>
      </w:r>
    </w:p>
    <w:p w14:paraId="729DD2BC" w14:textId="13DCB0CA" w:rsidR="00E416C9" w:rsidRPr="007B04CB" w:rsidRDefault="00E416C9" w:rsidP="007B04CB">
      <w:pPr>
        <w:pStyle w:val="ListParagraph"/>
        <w:numPr>
          <w:ilvl w:val="0"/>
          <w:numId w:val="13"/>
        </w:numPr>
        <w:tabs>
          <w:tab w:val="left" w:pos="851"/>
        </w:tabs>
        <w:spacing w:after="0"/>
        <w:ind w:left="0" w:firstLine="567"/>
        <w:jc w:val="both"/>
        <w:rPr>
          <w:rFonts w:ascii="GHEA Grapalat" w:hAnsi="GHEA Grapalat"/>
          <w:lang w:val="hy-AM"/>
        </w:rPr>
      </w:pPr>
      <w:r w:rsidRPr="007B04CB">
        <w:rPr>
          <w:rFonts w:ascii="GHEA Grapalat" w:hAnsi="GHEA Grapalat"/>
          <w:lang w:val="hy-AM"/>
        </w:rPr>
        <w:t xml:space="preserve">ավարտի ժամկետ ունեցող միջոցառումների (բազմամյա պարտավորությունների) ներկայացում բյուջետային փաստաթղթերում, </w:t>
      </w:r>
    </w:p>
    <w:p w14:paraId="2BAA7933" w14:textId="1476E3C4" w:rsidR="00E416C9" w:rsidRPr="007B04CB" w:rsidRDefault="00E416C9" w:rsidP="007B04CB">
      <w:pPr>
        <w:pStyle w:val="ListParagraph"/>
        <w:numPr>
          <w:ilvl w:val="0"/>
          <w:numId w:val="13"/>
        </w:numPr>
        <w:tabs>
          <w:tab w:val="left" w:pos="851"/>
        </w:tabs>
        <w:spacing w:after="0"/>
        <w:ind w:left="0" w:firstLine="567"/>
        <w:jc w:val="both"/>
        <w:rPr>
          <w:rFonts w:ascii="GHEA Grapalat" w:hAnsi="GHEA Grapalat"/>
          <w:lang w:val="hy-AM"/>
        </w:rPr>
      </w:pPr>
      <w:r w:rsidRPr="007B04CB">
        <w:rPr>
          <w:rFonts w:ascii="GHEA Grapalat" w:hAnsi="GHEA Grapalat"/>
          <w:lang w:val="hy-AM"/>
        </w:rPr>
        <w:t>միջնաժամկետ մակրոտնտեսական և հարկաբյուջետային շրջանակների վերանայում բյուջետային փաստաթղթերում:</w:t>
      </w:r>
    </w:p>
    <w:p w14:paraId="45F83F46" w14:textId="5FA0358C" w:rsidR="00C5724D" w:rsidRDefault="00C5724D" w:rsidP="00FB2613">
      <w:pPr>
        <w:spacing w:after="0" w:line="276" w:lineRule="auto"/>
        <w:ind w:firstLine="567"/>
        <w:jc w:val="both"/>
        <w:rPr>
          <w:rFonts w:ascii="GHEA Grapalat" w:eastAsia="Calibri" w:hAnsi="GHEA Grapalat" w:cs="Sylfaen"/>
          <w:noProof/>
          <w:lang w:val="hy-AM"/>
        </w:rPr>
      </w:pPr>
    </w:p>
    <w:p w14:paraId="203322E3" w14:textId="71A5D5DD" w:rsidR="00C5724D" w:rsidRPr="001F601A" w:rsidRDefault="005F209E" w:rsidP="001F601A">
      <w:pPr>
        <w:pStyle w:val="Heading3"/>
        <w:numPr>
          <w:ilvl w:val="2"/>
          <w:numId w:val="17"/>
        </w:numPr>
        <w:spacing w:before="0" w:after="240"/>
        <w:ind w:left="709" w:hanging="709"/>
        <w:rPr>
          <w:rFonts w:ascii="GHEA Grapalat" w:hAnsi="GHEA Grapalat"/>
          <w:b/>
          <w:color w:val="auto"/>
        </w:rPr>
      </w:pPr>
      <w:r w:rsidRPr="001F601A">
        <w:rPr>
          <w:rFonts w:ascii="GHEA Grapalat" w:hAnsi="GHEA Grapalat"/>
          <w:b/>
          <w:color w:val="auto"/>
        </w:rPr>
        <w:t>Հարկային և մաքսային ոլորտների վարչարարության հիմնական ուղղությունները</w:t>
      </w:r>
    </w:p>
    <w:p w14:paraId="3413BB3C" w14:textId="77777777" w:rsidR="005F209E" w:rsidRPr="004D49D0" w:rsidRDefault="005F209E" w:rsidP="004D49D0">
      <w:pPr>
        <w:tabs>
          <w:tab w:val="left" w:pos="993"/>
        </w:tabs>
        <w:spacing w:after="0" w:line="276" w:lineRule="auto"/>
        <w:ind w:firstLine="567"/>
        <w:contextualSpacing/>
        <w:jc w:val="both"/>
        <w:rPr>
          <w:rFonts w:ascii="GHEA Grapalat" w:eastAsia="SimSun" w:hAnsi="GHEA Grapalat" w:cs="Sylfaen"/>
          <w:lang w:val="af-ZA"/>
        </w:rPr>
      </w:pPr>
      <w:r w:rsidRPr="004D49D0">
        <w:rPr>
          <w:rFonts w:ascii="GHEA Grapalat" w:eastAsia="SimSun" w:hAnsi="GHEA Grapalat" w:cs="Sylfaen"/>
          <w:lang w:val="hy-AM"/>
        </w:rPr>
        <w:t>Պետական</w:t>
      </w:r>
      <w:r w:rsidRPr="004D49D0">
        <w:rPr>
          <w:rFonts w:ascii="GHEA Grapalat" w:eastAsia="SimSun" w:hAnsi="GHEA Grapalat" w:cs="Sylfaen"/>
          <w:lang w:val="af-ZA"/>
        </w:rPr>
        <w:t xml:space="preserve"> </w:t>
      </w:r>
      <w:r w:rsidRPr="004D49D0">
        <w:rPr>
          <w:rFonts w:ascii="GHEA Grapalat" w:eastAsia="SimSun" w:hAnsi="GHEA Grapalat" w:cs="Sylfaen"/>
          <w:lang w:val="hy-AM"/>
        </w:rPr>
        <w:t>եկամուտների</w:t>
      </w:r>
      <w:r w:rsidRPr="004D49D0">
        <w:rPr>
          <w:rFonts w:ascii="GHEA Grapalat" w:eastAsia="SimSun" w:hAnsi="GHEA Grapalat" w:cs="Sylfaen"/>
          <w:lang w:val="af-ZA"/>
        </w:rPr>
        <w:t xml:space="preserve"> </w:t>
      </w:r>
      <w:r w:rsidRPr="004D49D0">
        <w:rPr>
          <w:rFonts w:ascii="GHEA Grapalat" w:eastAsia="SimSun" w:hAnsi="GHEA Grapalat" w:cs="Sylfaen"/>
          <w:lang w:val="hy-AM"/>
        </w:rPr>
        <w:t>վարչարարության</w:t>
      </w:r>
      <w:r w:rsidRPr="004D49D0">
        <w:rPr>
          <w:rFonts w:ascii="GHEA Grapalat" w:eastAsia="SimSun" w:hAnsi="GHEA Grapalat" w:cs="Sylfaen"/>
          <w:lang w:val="af-ZA"/>
        </w:rPr>
        <w:t xml:space="preserve"> </w:t>
      </w:r>
      <w:r w:rsidRPr="004D49D0">
        <w:rPr>
          <w:rFonts w:ascii="GHEA Grapalat" w:eastAsia="SimSun" w:hAnsi="GHEA Grapalat" w:cs="Sylfaen"/>
          <w:lang w:val="hy-AM"/>
        </w:rPr>
        <w:t>ոլորտում</w:t>
      </w:r>
      <w:r w:rsidRPr="004D49D0">
        <w:rPr>
          <w:rFonts w:ascii="GHEA Grapalat" w:eastAsia="SimSun" w:hAnsi="GHEA Grapalat" w:cs="Sylfaen"/>
          <w:lang w:val="af-ZA"/>
        </w:rPr>
        <w:t xml:space="preserve"> </w:t>
      </w:r>
      <w:r w:rsidRPr="004D49D0">
        <w:rPr>
          <w:rFonts w:ascii="GHEA Grapalat" w:eastAsia="SimSun" w:hAnsi="GHEA Grapalat" w:cs="Sylfaen"/>
          <w:lang w:val="hy-AM"/>
        </w:rPr>
        <w:t>իրականացված</w:t>
      </w:r>
      <w:r w:rsidRPr="004D49D0">
        <w:rPr>
          <w:rFonts w:ascii="GHEA Grapalat" w:eastAsia="SimSun" w:hAnsi="GHEA Grapalat" w:cs="Sylfaen"/>
          <w:lang w:val="af-ZA"/>
        </w:rPr>
        <w:t xml:space="preserve"> </w:t>
      </w:r>
      <w:r w:rsidRPr="004D49D0">
        <w:rPr>
          <w:rFonts w:ascii="GHEA Grapalat" w:eastAsia="SimSun" w:hAnsi="GHEA Grapalat" w:cs="Sylfaen"/>
          <w:lang w:val="hy-AM"/>
        </w:rPr>
        <w:t>միջոցառումները</w:t>
      </w:r>
      <w:r w:rsidRPr="004D49D0">
        <w:rPr>
          <w:rFonts w:ascii="GHEA Grapalat" w:eastAsia="SimSun" w:hAnsi="GHEA Grapalat" w:cs="Sylfaen"/>
          <w:lang w:val="af-ZA"/>
        </w:rPr>
        <w:t xml:space="preserve"> </w:t>
      </w:r>
      <w:r w:rsidRPr="004D49D0">
        <w:rPr>
          <w:rFonts w:ascii="GHEA Grapalat" w:eastAsia="SimSun" w:hAnsi="GHEA Grapalat" w:cs="Sylfaen"/>
          <w:lang w:val="hy-AM"/>
        </w:rPr>
        <w:t>բխել</w:t>
      </w:r>
      <w:r w:rsidRPr="004D49D0">
        <w:rPr>
          <w:rFonts w:ascii="GHEA Grapalat" w:eastAsia="SimSun" w:hAnsi="GHEA Grapalat" w:cs="Sylfaen"/>
          <w:lang w:val="af-ZA"/>
        </w:rPr>
        <w:t xml:space="preserve"> </w:t>
      </w:r>
      <w:r w:rsidRPr="004D49D0">
        <w:rPr>
          <w:rFonts w:ascii="GHEA Grapalat" w:eastAsia="SimSun" w:hAnsi="GHEA Grapalat" w:cs="Sylfaen"/>
          <w:lang w:val="hy-AM"/>
        </w:rPr>
        <w:t>են</w:t>
      </w:r>
      <w:r w:rsidRPr="004D49D0">
        <w:rPr>
          <w:rFonts w:ascii="GHEA Grapalat" w:eastAsia="SimSun" w:hAnsi="GHEA Grapalat" w:cs="Sylfaen"/>
          <w:lang w:val="af-ZA"/>
        </w:rPr>
        <w:t xml:space="preserve"> </w:t>
      </w:r>
      <w:r w:rsidRPr="004D49D0">
        <w:rPr>
          <w:rFonts w:ascii="GHEA Grapalat" w:eastAsia="SimSun" w:hAnsi="GHEA Grapalat" w:cs="Sylfaen"/>
          <w:lang w:val="hy-AM"/>
        </w:rPr>
        <w:t>ՀՀ</w:t>
      </w:r>
      <w:r w:rsidRPr="004D49D0">
        <w:rPr>
          <w:rFonts w:ascii="GHEA Grapalat" w:eastAsia="SimSun" w:hAnsi="GHEA Grapalat"/>
          <w:lang w:val="af-ZA"/>
        </w:rPr>
        <w:t xml:space="preserve"> </w:t>
      </w:r>
      <w:r w:rsidRPr="004D49D0">
        <w:rPr>
          <w:rFonts w:ascii="GHEA Grapalat" w:eastAsia="SimSun" w:hAnsi="GHEA Grapalat" w:cs="Sylfaen"/>
          <w:lang w:val="hy-AM"/>
        </w:rPr>
        <w:t>կառավարության</w:t>
      </w:r>
      <w:r w:rsidRPr="004D49D0">
        <w:rPr>
          <w:rFonts w:ascii="GHEA Grapalat" w:eastAsia="SimSun" w:hAnsi="GHEA Grapalat"/>
          <w:lang w:val="af-ZA"/>
        </w:rPr>
        <w:t xml:space="preserve"> 2021</w:t>
      </w:r>
      <w:r w:rsidRPr="004D49D0">
        <w:rPr>
          <w:rFonts w:ascii="GHEA Grapalat" w:eastAsia="SimSun" w:hAnsi="GHEA Grapalat" w:cs="Sylfaen"/>
          <w:lang w:val="hy-AM"/>
        </w:rPr>
        <w:t>թ.</w:t>
      </w:r>
      <w:r w:rsidRPr="004D49D0">
        <w:rPr>
          <w:rFonts w:ascii="GHEA Grapalat" w:eastAsia="SimSun" w:hAnsi="GHEA Grapalat"/>
          <w:lang w:val="af-ZA"/>
        </w:rPr>
        <w:t xml:space="preserve"> </w:t>
      </w:r>
      <w:r w:rsidRPr="004D49D0">
        <w:rPr>
          <w:rFonts w:ascii="GHEA Grapalat" w:eastAsia="SimSun" w:hAnsi="GHEA Grapalat"/>
          <w:lang w:val="hy-AM"/>
        </w:rPr>
        <w:t>օգոստ</w:t>
      </w:r>
      <w:r w:rsidRPr="004D49D0">
        <w:rPr>
          <w:rFonts w:ascii="GHEA Grapalat" w:eastAsia="SimSun" w:hAnsi="GHEA Grapalat" w:cs="Sylfaen"/>
          <w:lang w:val="hy-AM"/>
        </w:rPr>
        <w:t>ոսի</w:t>
      </w:r>
      <w:r w:rsidRPr="004D49D0">
        <w:rPr>
          <w:rFonts w:ascii="GHEA Grapalat" w:eastAsia="SimSun" w:hAnsi="GHEA Grapalat"/>
          <w:lang w:val="af-ZA"/>
        </w:rPr>
        <w:t xml:space="preserve"> </w:t>
      </w:r>
      <w:r w:rsidRPr="004D49D0">
        <w:rPr>
          <w:rFonts w:ascii="GHEA Grapalat" w:eastAsia="SimSun" w:hAnsi="GHEA Grapalat"/>
          <w:lang w:val="hy-AM"/>
        </w:rPr>
        <w:t>18</w:t>
      </w:r>
      <w:r w:rsidRPr="004D49D0">
        <w:rPr>
          <w:rFonts w:ascii="GHEA Grapalat" w:eastAsia="SimSun" w:hAnsi="GHEA Grapalat"/>
          <w:lang w:val="af-ZA"/>
        </w:rPr>
        <w:t>-</w:t>
      </w:r>
      <w:r w:rsidRPr="004D49D0">
        <w:rPr>
          <w:rFonts w:ascii="GHEA Grapalat" w:eastAsia="SimSun" w:hAnsi="GHEA Grapalat" w:cs="Sylfaen"/>
          <w:lang w:val="hy-AM"/>
        </w:rPr>
        <w:t>ի</w:t>
      </w:r>
      <w:r w:rsidRPr="004D49D0">
        <w:rPr>
          <w:rFonts w:ascii="GHEA Grapalat" w:eastAsia="SimSun" w:hAnsi="GHEA Grapalat"/>
          <w:lang w:val="af-ZA"/>
        </w:rPr>
        <w:t xml:space="preserve"> N </w:t>
      </w:r>
      <w:r w:rsidRPr="004D49D0">
        <w:rPr>
          <w:rFonts w:ascii="GHEA Grapalat" w:eastAsia="SimSun" w:hAnsi="GHEA Grapalat"/>
          <w:lang w:val="hy-AM"/>
        </w:rPr>
        <w:t>1363</w:t>
      </w:r>
      <w:r w:rsidRPr="004D49D0">
        <w:rPr>
          <w:rFonts w:ascii="GHEA Grapalat" w:eastAsia="SimSun" w:hAnsi="GHEA Grapalat"/>
          <w:lang w:val="af-ZA"/>
        </w:rPr>
        <w:t>-</w:t>
      </w:r>
      <w:r w:rsidRPr="004D49D0">
        <w:rPr>
          <w:rFonts w:ascii="GHEA Grapalat" w:eastAsia="SimSun" w:hAnsi="GHEA Grapalat"/>
          <w:lang w:val="hy-AM"/>
        </w:rPr>
        <w:t>Ա</w:t>
      </w:r>
      <w:r w:rsidRPr="004D49D0">
        <w:rPr>
          <w:rFonts w:ascii="GHEA Grapalat" w:eastAsia="SimSun" w:hAnsi="GHEA Grapalat"/>
          <w:lang w:val="af-ZA"/>
        </w:rPr>
        <w:t xml:space="preserve"> </w:t>
      </w:r>
      <w:r w:rsidRPr="004D49D0">
        <w:rPr>
          <w:rFonts w:ascii="GHEA Grapalat" w:eastAsia="SimSun" w:hAnsi="GHEA Grapalat" w:cs="Sylfaen"/>
          <w:lang w:val="hy-AM"/>
        </w:rPr>
        <w:t>որոշմամբ</w:t>
      </w:r>
      <w:r w:rsidRPr="004D49D0">
        <w:rPr>
          <w:rFonts w:ascii="GHEA Grapalat" w:eastAsia="SimSun" w:hAnsi="GHEA Grapalat"/>
          <w:lang w:val="af-ZA"/>
        </w:rPr>
        <w:t xml:space="preserve"> </w:t>
      </w:r>
      <w:r w:rsidRPr="004D49D0">
        <w:rPr>
          <w:rFonts w:ascii="GHEA Grapalat" w:eastAsia="SimSun" w:hAnsi="GHEA Grapalat" w:cs="Sylfaen"/>
          <w:lang w:val="hy-AM"/>
        </w:rPr>
        <w:t>հաստատված</w:t>
      </w:r>
      <w:r w:rsidRPr="004D49D0">
        <w:rPr>
          <w:rFonts w:ascii="GHEA Grapalat" w:eastAsia="SimSun" w:hAnsi="GHEA Grapalat"/>
          <w:lang w:val="af-ZA"/>
        </w:rPr>
        <w:t xml:space="preserve"> </w:t>
      </w:r>
      <w:r w:rsidRPr="004D49D0">
        <w:rPr>
          <w:rFonts w:ascii="GHEA Grapalat" w:eastAsia="SimSun" w:hAnsi="GHEA Grapalat" w:cs="Sylfaen"/>
          <w:lang w:val="hy-AM"/>
        </w:rPr>
        <w:t>ՀՀ կառավարության հնգամյա (2021-2026թթ.)</w:t>
      </w:r>
      <w:r w:rsidRPr="004D49D0">
        <w:rPr>
          <w:rFonts w:ascii="GHEA Grapalat" w:eastAsia="SimSun" w:hAnsi="GHEA Grapalat" w:cs="Sylfaen"/>
          <w:lang w:val="af-ZA"/>
        </w:rPr>
        <w:t xml:space="preserve"> ծրագրից, </w:t>
      </w:r>
      <w:r w:rsidRPr="004D49D0">
        <w:rPr>
          <w:rFonts w:ascii="GHEA Grapalat" w:eastAsia="SimSun" w:hAnsi="GHEA Grapalat" w:cs="Sylfaen"/>
          <w:lang w:val="hy-AM"/>
        </w:rPr>
        <w:t>ՀՀ</w:t>
      </w:r>
      <w:r w:rsidRPr="004D49D0">
        <w:rPr>
          <w:rFonts w:ascii="GHEA Grapalat" w:eastAsia="SimSun" w:hAnsi="GHEA Grapalat"/>
          <w:lang w:val="af-ZA"/>
        </w:rPr>
        <w:t xml:space="preserve"> </w:t>
      </w:r>
      <w:r w:rsidRPr="004D49D0">
        <w:rPr>
          <w:rFonts w:ascii="GHEA Grapalat" w:eastAsia="SimSun" w:hAnsi="GHEA Grapalat" w:cs="Sylfaen"/>
          <w:lang w:val="hy-AM"/>
        </w:rPr>
        <w:t>կառավարության</w:t>
      </w:r>
      <w:r w:rsidRPr="004D49D0">
        <w:rPr>
          <w:rFonts w:ascii="GHEA Grapalat" w:eastAsia="SimSun" w:hAnsi="GHEA Grapalat"/>
          <w:lang w:val="af-ZA"/>
        </w:rPr>
        <w:t xml:space="preserve"> 2021</w:t>
      </w:r>
      <w:r w:rsidRPr="004D49D0">
        <w:rPr>
          <w:rFonts w:ascii="GHEA Grapalat" w:eastAsia="SimSun" w:hAnsi="GHEA Grapalat" w:cs="Sylfaen"/>
          <w:lang w:val="hy-AM"/>
        </w:rPr>
        <w:t>թ.</w:t>
      </w:r>
      <w:r w:rsidRPr="004D49D0">
        <w:rPr>
          <w:rFonts w:ascii="GHEA Grapalat" w:eastAsia="SimSun" w:hAnsi="GHEA Grapalat"/>
          <w:lang w:val="af-ZA"/>
        </w:rPr>
        <w:t xml:space="preserve"> </w:t>
      </w:r>
      <w:r w:rsidRPr="004D49D0">
        <w:rPr>
          <w:rFonts w:ascii="GHEA Grapalat" w:eastAsia="SimSun" w:hAnsi="GHEA Grapalat"/>
          <w:lang w:val="hy-AM"/>
        </w:rPr>
        <w:t>նոյեմբեր</w:t>
      </w:r>
      <w:r w:rsidRPr="004D49D0">
        <w:rPr>
          <w:rFonts w:ascii="GHEA Grapalat" w:eastAsia="SimSun" w:hAnsi="GHEA Grapalat" w:cs="Sylfaen"/>
          <w:lang w:val="hy-AM"/>
        </w:rPr>
        <w:t>ի</w:t>
      </w:r>
      <w:r w:rsidRPr="004D49D0">
        <w:rPr>
          <w:rFonts w:ascii="GHEA Grapalat" w:eastAsia="SimSun" w:hAnsi="GHEA Grapalat"/>
          <w:lang w:val="af-ZA"/>
        </w:rPr>
        <w:t xml:space="preserve"> </w:t>
      </w:r>
      <w:r w:rsidRPr="004D49D0">
        <w:rPr>
          <w:rFonts w:ascii="GHEA Grapalat" w:eastAsia="SimSun" w:hAnsi="GHEA Grapalat"/>
          <w:lang w:val="hy-AM"/>
        </w:rPr>
        <w:t>18</w:t>
      </w:r>
      <w:r w:rsidRPr="004D49D0">
        <w:rPr>
          <w:rFonts w:ascii="GHEA Grapalat" w:eastAsia="SimSun" w:hAnsi="GHEA Grapalat"/>
          <w:lang w:val="af-ZA"/>
        </w:rPr>
        <w:t>-</w:t>
      </w:r>
      <w:r w:rsidRPr="004D49D0">
        <w:rPr>
          <w:rFonts w:ascii="GHEA Grapalat" w:eastAsia="SimSun" w:hAnsi="GHEA Grapalat" w:cs="Sylfaen"/>
          <w:lang w:val="hy-AM"/>
        </w:rPr>
        <w:t>ի</w:t>
      </w:r>
      <w:r w:rsidRPr="004D49D0">
        <w:rPr>
          <w:rFonts w:ascii="GHEA Grapalat" w:eastAsia="SimSun" w:hAnsi="GHEA Grapalat"/>
          <w:lang w:val="af-ZA"/>
        </w:rPr>
        <w:t xml:space="preserve"> N </w:t>
      </w:r>
      <w:r w:rsidRPr="004D49D0">
        <w:rPr>
          <w:rFonts w:ascii="GHEA Grapalat" w:eastAsia="SimSun" w:hAnsi="GHEA Grapalat"/>
          <w:lang w:val="hy-AM"/>
        </w:rPr>
        <w:t>1902</w:t>
      </w:r>
      <w:r w:rsidRPr="004D49D0">
        <w:rPr>
          <w:rFonts w:ascii="GHEA Grapalat" w:eastAsia="SimSun" w:hAnsi="GHEA Grapalat"/>
          <w:lang w:val="af-ZA"/>
        </w:rPr>
        <w:t>-</w:t>
      </w:r>
      <w:r w:rsidRPr="004D49D0">
        <w:rPr>
          <w:rFonts w:ascii="GHEA Grapalat" w:eastAsia="SimSun" w:hAnsi="GHEA Grapalat"/>
          <w:lang w:val="hy-AM"/>
        </w:rPr>
        <w:t>Ա</w:t>
      </w:r>
      <w:r w:rsidRPr="004D49D0">
        <w:rPr>
          <w:rFonts w:ascii="GHEA Grapalat" w:eastAsia="SimSun" w:hAnsi="GHEA Grapalat"/>
          <w:lang w:val="af-ZA"/>
        </w:rPr>
        <w:t xml:space="preserve"> </w:t>
      </w:r>
      <w:r w:rsidRPr="004D49D0">
        <w:rPr>
          <w:rFonts w:ascii="GHEA Grapalat" w:eastAsia="SimSun" w:hAnsi="GHEA Grapalat" w:cs="Sylfaen"/>
          <w:lang w:val="hy-AM"/>
        </w:rPr>
        <w:t>որոշմամբ</w:t>
      </w:r>
      <w:r w:rsidRPr="004D49D0">
        <w:rPr>
          <w:rFonts w:ascii="GHEA Grapalat" w:eastAsia="SimSun" w:hAnsi="GHEA Grapalat"/>
          <w:lang w:val="af-ZA"/>
        </w:rPr>
        <w:t xml:space="preserve"> </w:t>
      </w:r>
      <w:r w:rsidRPr="004D49D0">
        <w:rPr>
          <w:rFonts w:ascii="GHEA Grapalat" w:eastAsia="SimSun" w:hAnsi="GHEA Grapalat" w:cs="Sylfaen"/>
          <w:lang w:val="hy-AM"/>
        </w:rPr>
        <w:t>հաստատված</w:t>
      </w:r>
      <w:r w:rsidRPr="004D49D0">
        <w:rPr>
          <w:rFonts w:ascii="GHEA Grapalat" w:eastAsia="SimSun" w:hAnsi="GHEA Grapalat"/>
          <w:lang w:val="af-ZA"/>
        </w:rPr>
        <w:t xml:space="preserve"> </w:t>
      </w:r>
      <w:r w:rsidRPr="004D49D0">
        <w:rPr>
          <w:rFonts w:ascii="GHEA Grapalat" w:eastAsia="SimSun" w:hAnsi="GHEA Grapalat" w:cs="Sylfaen"/>
          <w:lang w:val="hy-AM"/>
        </w:rPr>
        <w:t>ՀՀ կառավարության 2021-2026թթ. գործունեության միջոցառումների</w:t>
      </w:r>
      <w:r w:rsidRPr="004D49D0">
        <w:rPr>
          <w:rFonts w:ascii="GHEA Grapalat" w:eastAsia="SimSun" w:hAnsi="GHEA Grapalat" w:cs="Sylfaen"/>
          <w:lang w:val="af-ZA"/>
        </w:rPr>
        <w:t xml:space="preserve"> ծրագրից</w:t>
      </w:r>
      <w:r w:rsidRPr="004D49D0">
        <w:rPr>
          <w:rFonts w:ascii="GHEA Grapalat" w:eastAsia="SimSun" w:hAnsi="GHEA Grapalat" w:cs="Sylfaen"/>
          <w:lang w:val="hy-AM"/>
        </w:rPr>
        <w:t>, ՀՀ</w:t>
      </w:r>
      <w:r w:rsidRPr="004D49D0">
        <w:rPr>
          <w:rFonts w:ascii="GHEA Grapalat" w:eastAsia="SimSun" w:hAnsi="GHEA Grapalat"/>
          <w:lang w:val="af-ZA"/>
        </w:rPr>
        <w:t xml:space="preserve"> </w:t>
      </w:r>
      <w:r w:rsidRPr="004D49D0">
        <w:rPr>
          <w:rFonts w:ascii="GHEA Grapalat" w:eastAsia="SimSun" w:hAnsi="GHEA Grapalat" w:cs="Sylfaen"/>
          <w:lang w:val="hy-AM"/>
        </w:rPr>
        <w:t>կառավարության</w:t>
      </w:r>
      <w:r w:rsidRPr="004D49D0">
        <w:rPr>
          <w:rFonts w:ascii="GHEA Grapalat" w:eastAsia="SimSun" w:hAnsi="GHEA Grapalat"/>
          <w:lang w:val="af-ZA"/>
        </w:rPr>
        <w:t xml:space="preserve"> 2019</w:t>
      </w:r>
      <w:r w:rsidRPr="004D49D0">
        <w:rPr>
          <w:rFonts w:ascii="GHEA Grapalat" w:eastAsia="SimSun" w:hAnsi="GHEA Grapalat" w:cs="Sylfaen"/>
          <w:lang w:val="hy-AM"/>
        </w:rPr>
        <w:t>թ.</w:t>
      </w:r>
      <w:r w:rsidRPr="004D49D0">
        <w:rPr>
          <w:rFonts w:ascii="GHEA Grapalat" w:eastAsia="SimSun" w:hAnsi="GHEA Grapalat"/>
          <w:lang w:val="af-ZA"/>
        </w:rPr>
        <w:t xml:space="preserve"> դեկտեմբեր</w:t>
      </w:r>
      <w:r w:rsidRPr="004D49D0">
        <w:rPr>
          <w:rFonts w:ascii="GHEA Grapalat" w:eastAsia="SimSun" w:hAnsi="GHEA Grapalat" w:cs="Sylfaen"/>
          <w:lang w:val="hy-AM"/>
        </w:rPr>
        <w:t>ի</w:t>
      </w:r>
      <w:r w:rsidRPr="004D49D0">
        <w:rPr>
          <w:rFonts w:ascii="GHEA Grapalat" w:eastAsia="SimSun" w:hAnsi="GHEA Grapalat"/>
          <w:lang w:val="af-ZA"/>
        </w:rPr>
        <w:t xml:space="preserve"> 12-</w:t>
      </w:r>
      <w:r w:rsidRPr="004D49D0">
        <w:rPr>
          <w:rFonts w:ascii="GHEA Grapalat" w:eastAsia="SimSun" w:hAnsi="GHEA Grapalat" w:cs="Sylfaen"/>
          <w:lang w:val="hy-AM"/>
        </w:rPr>
        <w:t>ի</w:t>
      </w:r>
      <w:r w:rsidRPr="004D49D0">
        <w:rPr>
          <w:rFonts w:ascii="GHEA Grapalat" w:eastAsia="SimSun" w:hAnsi="GHEA Grapalat"/>
          <w:lang w:val="af-ZA"/>
        </w:rPr>
        <w:t xml:space="preserve"> N 1830-Լ </w:t>
      </w:r>
      <w:r w:rsidRPr="004D49D0">
        <w:rPr>
          <w:rFonts w:ascii="GHEA Grapalat" w:eastAsia="SimSun" w:hAnsi="GHEA Grapalat" w:cs="Sylfaen"/>
          <w:lang w:val="hy-AM"/>
        </w:rPr>
        <w:t>որոշմամբ</w:t>
      </w:r>
      <w:r w:rsidRPr="004D49D0">
        <w:rPr>
          <w:rFonts w:ascii="GHEA Grapalat" w:eastAsia="SimSun" w:hAnsi="GHEA Grapalat"/>
          <w:lang w:val="af-ZA"/>
        </w:rPr>
        <w:t xml:space="preserve"> </w:t>
      </w:r>
      <w:r w:rsidRPr="004D49D0">
        <w:rPr>
          <w:rFonts w:ascii="GHEA Grapalat" w:eastAsia="SimSun" w:hAnsi="GHEA Grapalat" w:cs="Sylfaen"/>
          <w:lang w:val="hy-AM"/>
        </w:rPr>
        <w:t xml:space="preserve">հաստատված ՀՀ պետական եկամուտների </w:t>
      </w:r>
      <w:r w:rsidRPr="004D49D0">
        <w:rPr>
          <w:rFonts w:ascii="GHEA Grapalat" w:eastAsia="SimSun" w:hAnsi="GHEA Grapalat"/>
          <w:lang w:val="af-ZA"/>
        </w:rPr>
        <w:t>կոմիտեի զարգացման</w:t>
      </w:r>
      <w:r w:rsidRPr="004D49D0">
        <w:rPr>
          <w:rFonts w:ascii="GHEA Grapalat" w:eastAsia="SimSun" w:hAnsi="GHEA Grapalat" w:cs="Sylfaen"/>
          <w:lang w:val="hy-AM"/>
        </w:rPr>
        <w:t xml:space="preserve"> և վարչարարության բարելավման ռազմավարական ծրագրից,</w:t>
      </w:r>
      <w:r w:rsidRPr="004D49D0">
        <w:rPr>
          <w:rFonts w:ascii="GHEA Grapalat" w:eastAsia="SimSun" w:hAnsi="GHEA Grapalat" w:cs="Sylfaen"/>
          <w:lang w:val="af-ZA"/>
        </w:rPr>
        <w:t xml:space="preserve"> ինչպես նաև ՀՀ կառավարության կողմից հաստատված այլ ծրագրերից: Ստորև ներկայացվում </w:t>
      </w:r>
      <w:r w:rsidRPr="004D49D0">
        <w:rPr>
          <w:rFonts w:ascii="GHEA Grapalat" w:eastAsia="SimSun" w:hAnsi="GHEA Grapalat" w:cs="Sylfaen"/>
          <w:lang w:val="hy-AM"/>
        </w:rPr>
        <w:t>է</w:t>
      </w:r>
      <w:r w:rsidRPr="004D49D0">
        <w:rPr>
          <w:rFonts w:ascii="GHEA Grapalat" w:eastAsia="SimSun" w:hAnsi="GHEA Grapalat" w:cs="Sylfaen"/>
          <w:lang w:val="af-ZA"/>
        </w:rPr>
        <w:t xml:space="preserve"> հարկային և մաքսային վարչարարության հիմնական ուղղություններով </w:t>
      </w:r>
      <w:r w:rsidRPr="004D49D0">
        <w:rPr>
          <w:rFonts w:ascii="GHEA Grapalat" w:eastAsia="SimSun" w:hAnsi="GHEA Grapalat" w:cs="Sylfaen"/>
          <w:lang w:val="hy-AM"/>
        </w:rPr>
        <w:t xml:space="preserve">2024թ. ընթացքում </w:t>
      </w:r>
      <w:r w:rsidRPr="004D49D0">
        <w:rPr>
          <w:rFonts w:ascii="GHEA Grapalat" w:eastAsia="SimSun" w:hAnsi="GHEA Grapalat" w:cs="Sylfaen"/>
          <w:lang w:val="af-ZA"/>
        </w:rPr>
        <w:t>կատարված աշխատանքների ամփոփ նկարագիրը:</w:t>
      </w:r>
    </w:p>
    <w:p w14:paraId="7402B0D4" w14:textId="377730C8" w:rsidR="005F209E" w:rsidRPr="004D49D0" w:rsidRDefault="005F209E" w:rsidP="004D49D0">
      <w:pPr>
        <w:pStyle w:val="mechtex"/>
        <w:numPr>
          <w:ilvl w:val="0"/>
          <w:numId w:val="8"/>
        </w:numPr>
        <w:tabs>
          <w:tab w:val="left" w:pos="450"/>
          <w:tab w:val="left" w:pos="851"/>
        </w:tabs>
        <w:spacing w:line="276" w:lineRule="auto"/>
        <w:ind w:left="0" w:firstLine="567"/>
        <w:contextualSpacing/>
        <w:jc w:val="both"/>
        <w:rPr>
          <w:rFonts w:ascii="GHEA Grapalat" w:hAnsi="GHEA Grapalat"/>
          <w:szCs w:val="22"/>
          <w:lang w:val="af-ZA"/>
        </w:rPr>
      </w:pPr>
      <w:r w:rsidRPr="004D49D0">
        <w:rPr>
          <w:rFonts w:ascii="GHEA Grapalat" w:hAnsi="GHEA Grapalat"/>
          <w:szCs w:val="22"/>
          <w:lang w:val="hy-AM"/>
        </w:rPr>
        <w:t>Հարկ</w:t>
      </w:r>
      <w:r w:rsidRPr="004D49D0">
        <w:rPr>
          <w:rFonts w:ascii="GHEA Grapalat" w:hAnsi="GHEA Grapalat"/>
          <w:szCs w:val="22"/>
          <w:lang w:val="af-ZA"/>
        </w:rPr>
        <w:t xml:space="preserve"> </w:t>
      </w:r>
      <w:r w:rsidRPr="004D49D0">
        <w:rPr>
          <w:rFonts w:ascii="GHEA Grapalat" w:hAnsi="GHEA Grapalat"/>
          <w:szCs w:val="22"/>
          <w:lang w:val="hy-AM"/>
        </w:rPr>
        <w:t>վճարողների</w:t>
      </w:r>
      <w:r w:rsidRPr="004D49D0">
        <w:rPr>
          <w:rFonts w:ascii="GHEA Grapalat" w:hAnsi="GHEA Grapalat"/>
          <w:szCs w:val="22"/>
          <w:lang w:val="af-ZA"/>
        </w:rPr>
        <w:t xml:space="preserve"> </w:t>
      </w:r>
      <w:r w:rsidRPr="004D49D0">
        <w:rPr>
          <w:rFonts w:ascii="GHEA Grapalat" w:hAnsi="GHEA Grapalat"/>
          <w:szCs w:val="22"/>
          <w:lang w:val="hy-AM"/>
        </w:rPr>
        <w:t>սպասարկման</w:t>
      </w:r>
      <w:r w:rsidRPr="004D49D0">
        <w:rPr>
          <w:rFonts w:ascii="GHEA Grapalat" w:hAnsi="GHEA Grapalat"/>
          <w:szCs w:val="22"/>
          <w:lang w:val="af-ZA"/>
        </w:rPr>
        <w:t xml:space="preserve"> </w:t>
      </w:r>
      <w:r w:rsidRPr="004D49D0">
        <w:rPr>
          <w:rFonts w:ascii="GHEA Grapalat" w:hAnsi="GHEA Grapalat"/>
          <w:szCs w:val="22"/>
          <w:lang w:val="hy-AM"/>
        </w:rPr>
        <w:t>և</w:t>
      </w:r>
      <w:r w:rsidRPr="004D49D0">
        <w:rPr>
          <w:rFonts w:ascii="GHEA Grapalat" w:hAnsi="GHEA Grapalat"/>
          <w:szCs w:val="22"/>
          <w:lang w:val="af-ZA"/>
        </w:rPr>
        <w:t xml:space="preserve"> </w:t>
      </w:r>
      <w:r w:rsidRPr="004D49D0">
        <w:rPr>
          <w:rFonts w:ascii="GHEA Grapalat" w:hAnsi="GHEA Grapalat"/>
          <w:szCs w:val="22"/>
          <w:lang w:val="hy-AM"/>
        </w:rPr>
        <w:t>որակյալ</w:t>
      </w:r>
      <w:r w:rsidRPr="004D49D0">
        <w:rPr>
          <w:rFonts w:ascii="GHEA Grapalat" w:hAnsi="GHEA Grapalat"/>
          <w:szCs w:val="22"/>
          <w:lang w:val="af-ZA"/>
        </w:rPr>
        <w:t xml:space="preserve"> </w:t>
      </w:r>
      <w:r w:rsidRPr="004D49D0">
        <w:rPr>
          <w:rFonts w:ascii="GHEA Grapalat" w:hAnsi="GHEA Grapalat"/>
          <w:szCs w:val="22"/>
          <w:lang w:val="hy-AM"/>
        </w:rPr>
        <w:t>ծառայությունների</w:t>
      </w:r>
      <w:r w:rsidRPr="004D49D0">
        <w:rPr>
          <w:rFonts w:ascii="GHEA Grapalat" w:hAnsi="GHEA Grapalat"/>
          <w:szCs w:val="22"/>
          <w:lang w:val="af-ZA"/>
        </w:rPr>
        <w:t xml:space="preserve"> </w:t>
      </w:r>
      <w:r w:rsidRPr="004D49D0">
        <w:rPr>
          <w:rFonts w:ascii="GHEA Grapalat" w:hAnsi="GHEA Grapalat"/>
          <w:szCs w:val="22"/>
          <w:lang w:val="hy-AM"/>
        </w:rPr>
        <w:t>մատուցման, ինչպես նաև հարկային և մաքսային համակարգը բանիմաց և հմուտ անձնակազմով համալրելուն ուղղված աշխատանքների շրջանակներում գրանցվել են հետևյալ արդյունքները</w:t>
      </w:r>
      <w:r w:rsidR="00952EE7" w:rsidRPr="002570E5">
        <w:rPr>
          <w:rFonts w:ascii="Cambria Math" w:eastAsia="MS Mincho" w:hAnsi="Cambria Math" w:cs="Cambria Math"/>
          <w:szCs w:val="22"/>
          <w:lang w:val="af-ZA"/>
        </w:rPr>
        <w:t>:</w:t>
      </w:r>
    </w:p>
    <w:p w14:paraId="2646B286" w14:textId="1687D32F" w:rsidR="005F209E" w:rsidRPr="004D49D0" w:rsidRDefault="005F209E" w:rsidP="004D49D0">
      <w:pPr>
        <w:pStyle w:val="mechtex"/>
        <w:numPr>
          <w:ilvl w:val="0"/>
          <w:numId w:val="10"/>
        </w:numPr>
        <w:tabs>
          <w:tab w:val="left" w:pos="810"/>
          <w:tab w:val="left" w:pos="1134"/>
          <w:tab w:val="left" w:pos="1276"/>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af-ZA"/>
        </w:rPr>
        <w:t xml:space="preserve">2024թ. ընթացքում կատարվել է </w:t>
      </w:r>
      <w:r w:rsidRPr="004D49D0">
        <w:rPr>
          <w:rFonts w:ascii="GHEA Grapalat" w:hAnsi="GHEA Grapalat"/>
          <w:szCs w:val="22"/>
          <w:lang w:val="hy-AM"/>
        </w:rPr>
        <w:t xml:space="preserve">մոտ </w:t>
      </w:r>
      <w:r w:rsidRPr="004D49D0">
        <w:rPr>
          <w:rFonts w:ascii="GHEA Grapalat" w:hAnsi="GHEA Grapalat"/>
          <w:szCs w:val="22"/>
          <w:lang w:val="af-ZA"/>
        </w:rPr>
        <w:t>392</w:t>
      </w:r>
      <w:r w:rsidRPr="004D49D0">
        <w:rPr>
          <w:rFonts w:ascii="GHEA Grapalat" w:hAnsi="GHEA Grapalat"/>
          <w:szCs w:val="22"/>
          <w:lang w:val="hy-AM"/>
        </w:rPr>
        <w:t>.</w:t>
      </w:r>
      <w:r w:rsidRPr="004D49D0">
        <w:rPr>
          <w:rFonts w:ascii="GHEA Grapalat" w:hAnsi="GHEA Grapalat"/>
          <w:szCs w:val="22"/>
          <w:lang w:val="af-ZA"/>
        </w:rPr>
        <w:t>2 մլրդ դրամի հարկերի վերադարձ (նախորդ տարվա համեմատ աճը կազմել է 8</w:t>
      </w:r>
      <w:r w:rsidRPr="004D49D0">
        <w:rPr>
          <w:rFonts w:ascii="GHEA Grapalat" w:hAnsi="GHEA Grapalat"/>
          <w:szCs w:val="22"/>
          <w:lang w:val="hy-AM"/>
        </w:rPr>
        <w:t>.</w:t>
      </w:r>
      <w:r w:rsidRPr="004D49D0">
        <w:rPr>
          <w:rFonts w:ascii="GHEA Grapalat" w:hAnsi="GHEA Grapalat"/>
          <w:szCs w:val="22"/>
          <w:lang w:val="af-ZA"/>
        </w:rPr>
        <w:t>1%): Մասնավորապես</w:t>
      </w:r>
      <w:r w:rsidR="00952EE7">
        <w:rPr>
          <w:rFonts w:ascii="GHEA Grapalat" w:hAnsi="GHEA Grapalat"/>
          <w:szCs w:val="22"/>
          <w:lang w:val="af-ZA"/>
        </w:rPr>
        <w:t>`</w:t>
      </w:r>
      <w:r w:rsidRPr="004D49D0">
        <w:rPr>
          <w:rFonts w:ascii="GHEA Grapalat" w:hAnsi="GHEA Grapalat"/>
          <w:szCs w:val="22"/>
          <w:lang w:val="af-ZA"/>
        </w:rPr>
        <w:t xml:space="preserve"> ԱԱՀ-ի գծով վերադարձը կազմել է 290</w:t>
      </w:r>
      <w:r w:rsidRPr="004D49D0">
        <w:rPr>
          <w:rFonts w:ascii="GHEA Grapalat" w:hAnsi="GHEA Grapalat"/>
          <w:szCs w:val="22"/>
          <w:lang w:val="hy-AM"/>
        </w:rPr>
        <w:t>.</w:t>
      </w:r>
      <w:r w:rsidRPr="004D49D0">
        <w:rPr>
          <w:rFonts w:ascii="GHEA Grapalat" w:hAnsi="GHEA Grapalat"/>
          <w:szCs w:val="22"/>
          <w:lang w:val="af-ZA"/>
        </w:rPr>
        <w:t>2 մլրդ դրամ (այդ թվում՝ Tax Free գծով փոխհատուցումները), ակցիզային հարկի գծով</w:t>
      </w:r>
      <w:r w:rsidR="00952EE7">
        <w:rPr>
          <w:rFonts w:ascii="GHEA Grapalat" w:hAnsi="GHEA Grapalat"/>
          <w:szCs w:val="22"/>
          <w:lang w:val="af-ZA"/>
        </w:rPr>
        <w:t>`</w:t>
      </w:r>
      <w:r w:rsidRPr="004D49D0">
        <w:rPr>
          <w:rFonts w:ascii="GHEA Grapalat" w:hAnsi="GHEA Grapalat"/>
          <w:szCs w:val="22"/>
          <w:lang w:val="af-ZA"/>
        </w:rPr>
        <w:t xml:space="preserve"> 11.2 մլրդ դրամ, եկամտային հարկի գծով` 88</w:t>
      </w:r>
      <w:r w:rsidRPr="004D49D0">
        <w:rPr>
          <w:rFonts w:ascii="GHEA Grapalat" w:hAnsi="GHEA Grapalat"/>
          <w:szCs w:val="22"/>
          <w:lang w:val="hy-AM"/>
        </w:rPr>
        <w:t>.</w:t>
      </w:r>
      <w:r w:rsidRPr="004D49D0">
        <w:rPr>
          <w:rFonts w:ascii="GHEA Grapalat" w:hAnsi="GHEA Grapalat"/>
          <w:szCs w:val="22"/>
          <w:lang w:val="af-ZA"/>
        </w:rPr>
        <w:t>8 մլրդ դրամ, այդ թվում՝ հի</w:t>
      </w:r>
      <w:r w:rsidR="00952EE7">
        <w:rPr>
          <w:rFonts w:ascii="GHEA Grapalat" w:hAnsi="GHEA Grapalat"/>
          <w:szCs w:val="22"/>
          <w:lang w:val="af-ZA"/>
        </w:rPr>
        <w:t>պ</w:t>
      </w:r>
      <w:r w:rsidRPr="004D49D0">
        <w:rPr>
          <w:rFonts w:ascii="GHEA Grapalat" w:hAnsi="GHEA Grapalat"/>
          <w:szCs w:val="22"/>
          <w:lang w:val="af-ZA"/>
        </w:rPr>
        <w:t>ո</w:t>
      </w:r>
      <w:r w:rsidR="00952EE7">
        <w:rPr>
          <w:rFonts w:ascii="GHEA Grapalat" w:hAnsi="GHEA Grapalat"/>
          <w:szCs w:val="22"/>
          <w:lang w:val="af-ZA"/>
        </w:rPr>
        <w:t>տեկ</w:t>
      </w:r>
      <w:r w:rsidRPr="004D49D0">
        <w:rPr>
          <w:rFonts w:ascii="GHEA Grapalat" w:hAnsi="GHEA Grapalat"/>
          <w:szCs w:val="22"/>
          <w:lang w:val="af-ZA"/>
        </w:rPr>
        <w:t>ային վարկի սպասարկման համար վճարվող տոկոսագումարների գծով` 68</w:t>
      </w:r>
      <w:r w:rsidRPr="004D49D0">
        <w:rPr>
          <w:rFonts w:ascii="GHEA Grapalat" w:hAnsi="GHEA Grapalat"/>
          <w:szCs w:val="22"/>
          <w:lang w:val="hy-AM"/>
        </w:rPr>
        <w:t>.</w:t>
      </w:r>
      <w:r w:rsidRPr="004D49D0">
        <w:rPr>
          <w:rFonts w:ascii="GHEA Grapalat" w:hAnsi="GHEA Grapalat"/>
          <w:szCs w:val="22"/>
          <w:lang w:val="af-ZA"/>
        </w:rPr>
        <w:t>6 մլրդ դրամ։</w:t>
      </w:r>
    </w:p>
    <w:p w14:paraId="013B7BC0" w14:textId="6D47F906" w:rsidR="005F209E" w:rsidRPr="004D49D0" w:rsidRDefault="005F209E" w:rsidP="004D49D0">
      <w:pPr>
        <w:pStyle w:val="mechtex"/>
        <w:numPr>
          <w:ilvl w:val="0"/>
          <w:numId w:val="10"/>
        </w:numPr>
        <w:tabs>
          <w:tab w:val="left" w:pos="810"/>
          <w:tab w:val="left" w:pos="1134"/>
          <w:tab w:val="left" w:pos="1276"/>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 xml:space="preserve">Տնտեսավարող սուբյեկտների մոտ ծագող հարցերի ու խնդիրների օպերատիվ լուծման նպատակով ակտիվորեն գործել է հարկ վճարողների սպասարկման և հեռախոսազանգերի կենտրոնը: Մասնավորապես, հարկային և մաքսային հարաբերությունները կարգավորող </w:t>
      </w:r>
      <w:r w:rsidRPr="004D49D0">
        <w:rPr>
          <w:rFonts w:ascii="GHEA Grapalat" w:hAnsi="GHEA Grapalat"/>
          <w:szCs w:val="22"/>
          <w:lang w:val="hy-AM"/>
        </w:rPr>
        <w:lastRenderedPageBreak/>
        <w:t>օրենսդրության և վարչարարության վերաբերյալ 2024թ. ընթացքում ստացվել է 214,483 հարցադիմում: Հարցադիմումներից 213,892-ը ստացվել են հեռախոսակապի, իսկ մնացած 591-ը</w:t>
      </w:r>
      <w:r w:rsidR="00952EE7">
        <w:rPr>
          <w:rFonts w:ascii="GHEA Grapalat" w:hAnsi="GHEA Grapalat"/>
          <w:szCs w:val="22"/>
        </w:rPr>
        <w:t>՝</w:t>
      </w:r>
      <w:r w:rsidRPr="004D49D0">
        <w:rPr>
          <w:rFonts w:ascii="GHEA Grapalat" w:hAnsi="GHEA Grapalat"/>
          <w:szCs w:val="22"/>
          <w:lang w:val="hy-AM"/>
        </w:rPr>
        <w:t xml:space="preserve"> էլեկտրոնային փոստի միջոցով: Նույն ժամանակահատվածում հարկ վճարողների կողմից ստացվել են նաև 1,200 դիմում-բողոք և 6 առաջարկություն:</w:t>
      </w:r>
      <w:r w:rsidR="00CE2D1A">
        <w:rPr>
          <w:rFonts w:ascii="GHEA Grapalat" w:hAnsi="GHEA Grapalat"/>
          <w:szCs w:val="22"/>
          <w:lang w:val="hy-AM"/>
        </w:rPr>
        <w:t xml:space="preserve"> </w:t>
      </w:r>
    </w:p>
    <w:p w14:paraId="620729A6" w14:textId="77777777" w:rsidR="005F209E" w:rsidRPr="004D49D0" w:rsidRDefault="005F209E" w:rsidP="004D49D0">
      <w:pPr>
        <w:pStyle w:val="mechtex"/>
        <w:numPr>
          <w:ilvl w:val="0"/>
          <w:numId w:val="10"/>
        </w:numPr>
        <w:tabs>
          <w:tab w:val="left" w:pos="810"/>
          <w:tab w:val="left" w:pos="1134"/>
          <w:tab w:val="left" w:pos="1276"/>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Հարկ վճարողների իրազեկվածության բարձրացման նպատակով՝</w:t>
      </w:r>
      <w:r w:rsidRPr="004D49D0">
        <w:rPr>
          <w:rFonts w:ascii="GHEA Grapalat" w:eastAsiaTheme="minorHAnsi" w:hAnsi="GHEA Grapalat" w:cstheme="minorBidi"/>
          <w:noProof/>
          <w:szCs w:val="22"/>
          <w:lang w:val="hy-AM" w:eastAsia="en-US"/>
        </w:rPr>
        <w:t xml:space="preserve"> </w:t>
      </w:r>
      <w:r w:rsidRPr="004D49D0">
        <w:rPr>
          <w:rFonts w:ascii="GHEA Grapalat" w:hAnsi="GHEA Grapalat"/>
          <w:szCs w:val="22"/>
          <w:lang w:val="hy-AM"/>
        </w:rPr>
        <w:t>հարկ վճարողների տարբեր խմբերի համար 2024թ. ընթացքում անց է կացվել 1,431 ակ/ժամ տևողությամբ 93 ուսումնական միջոցառում, որոնց մասնակցել են 2,006 հարկ վճարողներ և (կամ) նրանց ներկայացուցիչներ:</w:t>
      </w:r>
    </w:p>
    <w:p w14:paraId="47D5A849" w14:textId="47FC5CD2" w:rsidR="005F209E" w:rsidRPr="004D49D0" w:rsidRDefault="005F209E" w:rsidP="004D49D0">
      <w:pPr>
        <w:pStyle w:val="mechtex"/>
        <w:numPr>
          <w:ilvl w:val="0"/>
          <w:numId w:val="10"/>
        </w:numPr>
        <w:tabs>
          <w:tab w:val="left" w:pos="810"/>
          <w:tab w:val="left" w:pos="1134"/>
          <w:tab w:val="left" w:pos="1276"/>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Զանգվածային լրատվության ներկայացուցիչների համար 2024թ. ընթացքում պարբերաբար կազմակերպվել են մամուլի ասուլիսներ, հարցազրույցներ, հրապարակվել են մամլո հա</w:t>
      </w:r>
      <w:r w:rsidR="00B66B8D">
        <w:rPr>
          <w:rFonts w:ascii="GHEA Grapalat" w:hAnsi="GHEA Grapalat"/>
          <w:szCs w:val="22"/>
          <w:lang w:val="hy-AM"/>
        </w:rPr>
        <w:t>ղորդագրություններ, ներկայացվել է</w:t>
      </w:r>
      <w:r w:rsidRPr="004D49D0">
        <w:rPr>
          <w:rFonts w:ascii="GHEA Grapalat" w:hAnsi="GHEA Grapalat"/>
          <w:szCs w:val="22"/>
          <w:lang w:val="hy-AM"/>
        </w:rPr>
        <w:t xml:space="preserve"> հարկային և մաքսային ոլորտներում իրականացվող բարեփոխումների վերաբերյալ տեղեկատվություն, կազմակերպվել են հեռուստատեսային տարբեր հաղորդումներ կոմիտեի աշխատակիցների մասնակցությամբ՝ ապահովելով հանրության իրազեկվածությունը գործարարության ոլորտում պետական եկամուտների վարչարարության բարեփոխումների վերաբերյալ: 2024թ. ընթացքում ԶԼՄ-ներով, ՊԵԿ պաշտոնական կայքով, սոցիալական հարթակներով կամ այլ եղանակներով իրականացվել է հանրային իրազեկման 84 միջոցառում:</w:t>
      </w:r>
    </w:p>
    <w:p w14:paraId="6AA5DBCC" w14:textId="4483EB77" w:rsidR="005F209E" w:rsidRPr="004D49D0" w:rsidRDefault="005F209E" w:rsidP="004D49D0">
      <w:pPr>
        <w:pStyle w:val="mechtex"/>
        <w:numPr>
          <w:ilvl w:val="0"/>
          <w:numId w:val="10"/>
        </w:numPr>
        <w:tabs>
          <w:tab w:val="left" w:pos="810"/>
          <w:tab w:val="left" w:pos="1134"/>
          <w:tab w:val="left" w:pos="1276"/>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«Օրինապահ հարկ վճարող» համարվելու չափանիշների և օրինապահ հարկ վճարողի հավաստագրի տրամադրման կարգի համաձայն 2024թ. օրինապահ հարկ վճարողի հավաստագիր է տրամադրվել 83 տնտեսավարող սուբյեկտի (որից 2-ը՝ ԼՏՕ ռեեստրում գրանցվելու համար): ՀՀ հարկային օրենսգրքի 305-րդ հոդվածի համաձայն</w:t>
      </w:r>
      <w:r w:rsidR="00DA4FD3">
        <w:rPr>
          <w:rFonts w:ascii="GHEA Grapalat" w:hAnsi="GHEA Grapalat"/>
          <w:szCs w:val="22"/>
        </w:rPr>
        <w:t>՝</w:t>
      </w:r>
      <w:r w:rsidRPr="004D49D0">
        <w:rPr>
          <w:rFonts w:ascii="GHEA Grapalat" w:hAnsi="GHEA Grapalat"/>
          <w:szCs w:val="22"/>
          <w:lang w:val="hy-AM"/>
        </w:rPr>
        <w:t xml:space="preserve"> 2024թ. հունվար-դեկտեմբեր ամիսներին օրինապահ հարկ վճարողներին էլեկտրոնային փոստին ծանուցման միջոցով ուղարկվել է 2,923</w:t>
      </w:r>
      <w:r w:rsidRPr="004D49D0">
        <w:rPr>
          <w:rFonts w:ascii="GHEA Grapalat" w:hAnsi="GHEA Grapalat"/>
          <w:noProof/>
          <w:szCs w:val="22"/>
          <w:lang w:val="hy-AM"/>
        </w:rPr>
        <w:t xml:space="preserve"> </w:t>
      </w:r>
      <w:r w:rsidRPr="004D49D0">
        <w:rPr>
          <w:rFonts w:ascii="GHEA Grapalat" w:hAnsi="GHEA Grapalat"/>
          <w:szCs w:val="22"/>
          <w:lang w:val="hy-AM"/>
        </w:rPr>
        <w:t>իրազեկում hարկային հարաբերությունները կարգավորող իրավական ակտերի վերաբերյալ: Միաժամանակ</w:t>
      </w:r>
      <w:r w:rsidR="00DA4FD3" w:rsidRPr="002570E5">
        <w:rPr>
          <w:rFonts w:ascii="GHEA Grapalat" w:hAnsi="GHEA Grapalat"/>
          <w:szCs w:val="22"/>
          <w:lang w:val="af-ZA"/>
        </w:rPr>
        <w:t>,</w:t>
      </w:r>
      <w:r w:rsidRPr="004D49D0">
        <w:rPr>
          <w:rFonts w:ascii="GHEA Grapalat" w:hAnsi="GHEA Grapalat"/>
          <w:szCs w:val="22"/>
          <w:lang w:val="hy-AM"/>
        </w:rPr>
        <w:t xml:space="preserve"> օրինապահ հարկ վճարող համարվելու գործող չափանիշների հստակեցման, վերջիններիս կիրառման իմաստով երկիմաստությունների բացառման նպատակով փոփոխություն է կատարվել «Օ</w:t>
      </w:r>
      <w:r w:rsidRPr="004D49D0">
        <w:rPr>
          <w:rFonts w:ascii="GHEA Grapalat" w:hAnsi="GHEA Grapalat"/>
          <w:bCs/>
          <w:szCs w:val="22"/>
          <w:lang w:val="hy-AM"/>
        </w:rPr>
        <w:t>րինապահ հարկ վճարող համարելու չափանիշները և օրինապահ հարկ վճարողի հավաստագրի տրամադրման կարգը հաստատելու մասին» ՀՀ կառավարության որոշման մեջ</w:t>
      </w:r>
      <w:r w:rsidRPr="004D49D0">
        <w:rPr>
          <w:rFonts w:ascii="GHEA Grapalat" w:hAnsi="GHEA Grapalat"/>
          <w:szCs w:val="22"/>
          <w:lang w:val="hy-AM"/>
        </w:rPr>
        <w:t>:</w:t>
      </w:r>
    </w:p>
    <w:p w14:paraId="77EE14CC" w14:textId="77777777" w:rsidR="005F209E" w:rsidRPr="004D49D0" w:rsidRDefault="005F209E" w:rsidP="004D49D0">
      <w:pPr>
        <w:pStyle w:val="mechtex"/>
        <w:numPr>
          <w:ilvl w:val="0"/>
          <w:numId w:val="10"/>
        </w:numPr>
        <w:tabs>
          <w:tab w:val="left" w:pos="810"/>
          <w:tab w:val="left" w:pos="1134"/>
          <w:tab w:val="left" w:pos="1276"/>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 xml:space="preserve">2024թ. ապրիլի 1-ից մայիսի 1-ն ընկած ժամանակահատվածում 3-րդ տարին անընդմեջ ՀՀ ՊԵԿ կողմից իրականացվել է ՊԵԿ գործունեության վերաբերյալ գոհունակության գնահատման հարցում, որի նպատակն է մատուցվող ծառայությունների և իրականացվող վարչարարության նկատմամբ հարկ վճարողների գոհունակության գնահատումը։ Հարցմանը մասնակցել են 839 կազմակերպություն (այդ թվում՝ ԱՁ) և ինքնուրույն հարկ վճարող (ֆիզիկական անձ): Հարցման արդյունքները փաստում են, որ ՊԵԿ գործունեությունը դրական են գնահատել հարկային մարմնի մասով հարցման մասնակիցների 82.6%-ը, մաքսային մարմնի մասով` 79.4%-ը, իսկ ընդհանուր հարցման մասնակիցների՝ 82.1%-ը: </w:t>
      </w:r>
    </w:p>
    <w:p w14:paraId="03A0C156" w14:textId="69092A1F" w:rsidR="005F209E" w:rsidRPr="004D49D0" w:rsidRDefault="005F209E" w:rsidP="004D49D0">
      <w:pPr>
        <w:pStyle w:val="mechtex"/>
        <w:tabs>
          <w:tab w:val="left" w:pos="810"/>
        </w:tabs>
        <w:spacing w:line="276" w:lineRule="auto"/>
        <w:ind w:firstLine="567"/>
        <w:contextualSpacing/>
        <w:jc w:val="both"/>
        <w:rPr>
          <w:rFonts w:ascii="GHEA Grapalat" w:hAnsi="GHEA Grapalat"/>
          <w:szCs w:val="22"/>
          <w:lang w:val="hy-AM"/>
        </w:rPr>
      </w:pPr>
      <w:r w:rsidRPr="004D49D0">
        <w:rPr>
          <w:rFonts w:ascii="GHEA Grapalat" w:hAnsi="GHEA Grapalat"/>
          <w:szCs w:val="22"/>
          <w:lang w:val="hy-AM"/>
        </w:rPr>
        <w:t>Բացի վերը նշված հարցում</w:t>
      </w:r>
      <w:r w:rsidR="008943B2">
        <w:rPr>
          <w:rFonts w:ascii="GHEA Grapalat" w:hAnsi="GHEA Grapalat"/>
          <w:szCs w:val="22"/>
        </w:rPr>
        <w:t>ից</w:t>
      </w:r>
      <w:r w:rsidRPr="004D49D0">
        <w:rPr>
          <w:rFonts w:ascii="GHEA Grapalat" w:hAnsi="GHEA Grapalat"/>
          <w:szCs w:val="22"/>
          <w:lang w:val="hy-AM"/>
        </w:rPr>
        <w:t xml:space="preserve">՝ </w:t>
      </w:r>
      <w:r w:rsidR="008943B2">
        <w:rPr>
          <w:rFonts w:ascii="GHEA Grapalat" w:hAnsi="GHEA Grapalat"/>
          <w:szCs w:val="22"/>
        </w:rPr>
        <w:t>ՀԲ</w:t>
      </w:r>
      <w:r w:rsidRPr="004D49D0">
        <w:rPr>
          <w:rFonts w:ascii="GHEA Grapalat" w:hAnsi="GHEA Grapalat"/>
          <w:szCs w:val="22"/>
          <w:lang w:val="hy-AM"/>
        </w:rPr>
        <w:t xml:space="preserve"> աջակցությամբ ևս իրականացվել են հարկային և մաքսային վարչարարության վերաբերյալ հերթական հարցումներ, որոնց արդյունքներն ընդհանուր առմամբ ևս դրական են եղել:</w:t>
      </w:r>
    </w:p>
    <w:p w14:paraId="4925B105" w14:textId="1FA1DF13" w:rsidR="005F209E" w:rsidRPr="004D49D0" w:rsidRDefault="005F209E" w:rsidP="004D49D0">
      <w:pPr>
        <w:pStyle w:val="mechtex"/>
        <w:numPr>
          <w:ilvl w:val="0"/>
          <w:numId w:val="10"/>
        </w:numPr>
        <w:tabs>
          <w:tab w:val="left" w:pos="810"/>
          <w:tab w:val="left" w:pos="1134"/>
        </w:tabs>
        <w:spacing w:line="276" w:lineRule="auto"/>
        <w:ind w:left="0" w:firstLine="851"/>
        <w:contextualSpacing/>
        <w:jc w:val="both"/>
        <w:rPr>
          <w:rFonts w:ascii="GHEA Grapalat" w:hAnsi="GHEA Grapalat"/>
          <w:szCs w:val="22"/>
          <w:lang w:val="hy-AM"/>
        </w:rPr>
      </w:pPr>
      <w:r w:rsidRPr="004D49D0">
        <w:rPr>
          <w:rFonts w:ascii="GHEA Grapalat" w:hAnsi="GHEA Grapalat"/>
          <w:szCs w:val="22"/>
          <w:lang w:val="hy-AM"/>
        </w:rPr>
        <w:t>Ներդրվել է «Մայլինգ» համակարգը, ինչը թույլ է տալիս ՀՀ-ից արտահանվող (այդ թվում</w:t>
      </w:r>
      <w:r w:rsidR="008943B2" w:rsidRPr="002570E5">
        <w:rPr>
          <w:rFonts w:ascii="GHEA Grapalat" w:hAnsi="GHEA Grapalat"/>
          <w:szCs w:val="22"/>
          <w:lang w:val="hy-AM"/>
        </w:rPr>
        <w:t>՝</w:t>
      </w:r>
      <w:r w:rsidRPr="004D49D0">
        <w:rPr>
          <w:rFonts w:ascii="GHEA Grapalat" w:hAnsi="GHEA Grapalat"/>
          <w:szCs w:val="22"/>
          <w:lang w:val="hy-AM"/>
        </w:rPr>
        <w:t xml:space="preserve"> ԵԱՏՄ անդամ երկրներ) ապրանքների համար ներկայացված հայտարարագրերը գրանցվելուց հետո, երբ ռիսկի պրոֆիլների հիման վրա հսկողության ակտում ձևավորվում են փաստաթղթային </w:t>
      </w:r>
      <w:r w:rsidRPr="004D49D0">
        <w:rPr>
          <w:rFonts w:ascii="GHEA Grapalat" w:hAnsi="GHEA Grapalat"/>
          <w:szCs w:val="22"/>
          <w:lang w:val="hy-AM"/>
        </w:rPr>
        <w:lastRenderedPageBreak/>
        <w:t>հսկողության կիրառման միջոցով ռիսկերի նվազեցման միջոցառումների իրականացման ցուցումներ, մաքսային գործառնություններն իրականացնել առանց ԱՏԳ մասնակիցների ֆիզիկական ներկայության:</w:t>
      </w:r>
    </w:p>
    <w:p w14:paraId="4604F02C" w14:textId="77777777" w:rsidR="005F209E" w:rsidRPr="004D49D0" w:rsidRDefault="005F209E" w:rsidP="004D49D0">
      <w:pPr>
        <w:pStyle w:val="mechtex"/>
        <w:numPr>
          <w:ilvl w:val="0"/>
          <w:numId w:val="10"/>
        </w:numPr>
        <w:tabs>
          <w:tab w:val="left" w:pos="810"/>
          <w:tab w:val="left" w:pos="1134"/>
        </w:tabs>
        <w:spacing w:line="276" w:lineRule="auto"/>
        <w:ind w:left="0" w:firstLine="851"/>
        <w:contextualSpacing/>
        <w:jc w:val="both"/>
        <w:rPr>
          <w:rFonts w:ascii="GHEA Grapalat" w:hAnsi="GHEA Grapalat"/>
          <w:szCs w:val="22"/>
          <w:lang w:val="hy-AM"/>
        </w:rPr>
      </w:pPr>
      <w:r w:rsidRPr="004D49D0">
        <w:rPr>
          <w:rFonts w:ascii="GHEA Grapalat" w:hAnsi="GHEA Grapalat"/>
          <w:szCs w:val="22"/>
          <w:lang w:val="hy-AM"/>
        </w:rPr>
        <w:t>Շարունակվել են ֆիզիկական անձանց ինքնահայտարարագրման համակարգի կատարելագործան ու համակարգի վերազինման աշխատանքները։ Արդյունքում պարզեցվել են հարկային մարմնում հաշվառվելու, «Եկամտային հարկի և սոցիալական վճարի հաշվարկ (հայտարարագիրը)» ներկայացնելու, ծախսերի փոխհատուցման և վճարումներ կատարելու գործընթացները։</w:t>
      </w:r>
    </w:p>
    <w:p w14:paraId="467E9C47" w14:textId="77777777" w:rsidR="005F209E" w:rsidRPr="004D49D0" w:rsidRDefault="005F209E" w:rsidP="004D49D0">
      <w:pPr>
        <w:pStyle w:val="mechtex"/>
        <w:numPr>
          <w:ilvl w:val="0"/>
          <w:numId w:val="10"/>
        </w:numPr>
        <w:tabs>
          <w:tab w:val="left" w:pos="810"/>
          <w:tab w:val="left" w:pos="1134"/>
        </w:tabs>
        <w:spacing w:line="276" w:lineRule="auto"/>
        <w:ind w:left="0" w:firstLine="851"/>
        <w:contextualSpacing/>
        <w:jc w:val="both"/>
        <w:rPr>
          <w:rFonts w:ascii="GHEA Grapalat" w:hAnsi="GHEA Grapalat"/>
          <w:szCs w:val="22"/>
          <w:lang w:val="hy-AM"/>
        </w:rPr>
      </w:pPr>
      <w:r w:rsidRPr="004D49D0">
        <w:rPr>
          <w:rFonts w:ascii="GHEA Grapalat" w:hAnsi="GHEA Grapalat" w:cs="Sylfaen"/>
          <w:szCs w:val="22"/>
          <w:lang w:val="hy-AM"/>
        </w:rPr>
        <w:t xml:space="preserve">ՊԵԿ հարկային և մաքսային ծառայողների մասնագիտական կարողությունների ավելացման նպատակով իրականացվել են վերապատրաստման ծրագրեր, ներդրվել է էլեկտրոնային ուսուցման հարթակը, որի միջոցով ՊԵԿ աշխատակիցները, մասնավորապես՝ սահմանային անցակետերում ծառայող, հնարավորություն են ունեցել մասնակցելու դասընթացներին նաև առցանց եղանակով՝ անկախ գտնվելու վայրից և ժամանակից։ Վերափոխվել է հարկային և մաքսային ծառայության ընդունման գործընթացը, </w:t>
      </w:r>
      <w:r w:rsidRPr="004D49D0">
        <w:rPr>
          <w:rFonts w:ascii="GHEA Grapalat" w:hAnsi="GHEA Grapalat" w:cs="Sylfaen"/>
          <w:bCs/>
          <w:szCs w:val="22"/>
          <w:lang w:val="hy-AM"/>
        </w:rPr>
        <w:t>համապատասխան իրավական ակտերով հիմք է դրվել հարկային և մաքսային ծառայության ընդունվելու համար անցկացվող մրցույթների պարզեցմանն ու թափանցիկությանը</w:t>
      </w:r>
      <w:r w:rsidRPr="004D49D0">
        <w:rPr>
          <w:rFonts w:ascii="GHEA Grapalat" w:hAnsi="GHEA Grapalat" w:cs="Sylfaen"/>
          <w:szCs w:val="22"/>
          <w:lang w:val="hy-AM"/>
        </w:rPr>
        <w:t>։</w:t>
      </w:r>
    </w:p>
    <w:p w14:paraId="023E36E6" w14:textId="36D46E13" w:rsidR="005F209E" w:rsidRPr="004D49D0" w:rsidRDefault="005F209E" w:rsidP="004D49D0">
      <w:pPr>
        <w:pStyle w:val="mechtex"/>
        <w:numPr>
          <w:ilvl w:val="0"/>
          <w:numId w:val="10"/>
        </w:numPr>
        <w:tabs>
          <w:tab w:val="left" w:pos="810"/>
          <w:tab w:val="left" w:pos="1134"/>
        </w:tabs>
        <w:spacing w:line="276" w:lineRule="auto"/>
        <w:ind w:left="0" w:firstLine="851"/>
        <w:contextualSpacing/>
        <w:jc w:val="both"/>
        <w:rPr>
          <w:rFonts w:ascii="GHEA Grapalat" w:hAnsi="GHEA Grapalat"/>
          <w:szCs w:val="22"/>
          <w:lang w:val="hy-AM"/>
        </w:rPr>
      </w:pPr>
      <w:r w:rsidRPr="004D49D0">
        <w:rPr>
          <w:rFonts w:ascii="GHEA Grapalat" w:hAnsi="GHEA Grapalat" w:cs="Sylfaen"/>
          <w:szCs w:val="22"/>
          <w:lang w:val="hy-AM"/>
        </w:rPr>
        <w:t>Շ</w:t>
      </w:r>
      <w:r w:rsidRPr="004D49D0">
        <w:rPr>
          <w:rFonts w:ascii="GHEA Grapalat" w:hAnsi="GHEA Grapalat" w:cs="Sylfaen"/>
          <w:szCs w:val="22"/>
          <w:lang w:val="af-ZA"/>
        </w:rPr>
        <w:t>արունակվել են աշխատանքները հարկային և մաքսային մարմիններում կոռուպցիոն ռիսկերի և երևույթների բացահայտման և կանխարգելման ուղղությամբ</w:t>
      </w:r>
      <w:r w:rsidRPr="003B456B">
        <w:rPr>
          <w:rFonts w:ascii="GHEA Grapalat" w:hAnsi="GHEA Grapalat" w:cs="Sylfaen"/>
          <w:szCs w:val="22"/>
          <w:lang w:val="af-ZA"/>
        </w:rPr>
        <w:t>: Մասնավորապես</w:t>
      </w:r>
      <w:r w:rsidRPr="003B456B">
        <w:rPr>
          <w:rFonts w:ascii="GHEA Grapalat" w:hAnsi="GHEA Grapalat" w:cs="Sylfaen"/>
          <w:szCs w:val="22"/>
          <w:lang w:val="hy-AM"/>
        </w:rPr>
        <w:t>,</w:t>
      </w:r>
      <w:r w:rsidRPr="003B456B">
        <w:rPr>
          <w:rFonts w:ascii="GHEA Grapalat" w:hAnsi="GHEA Grapalat" w:cs="Sylfaen"/>
          <w:szCs w:val="22"/>
          <w:lang w:val="af-ZA"/>
        </w:rPr>
        <w:t xml:space="preserve"> </w:t>
      </w:r>
      <w:r w:rsidRPr="003B456B">
        <w:rPr>
          <w:rFonts w:ascii="GHEA Grapalat" w:hAnsi="GHEA Grapalat" w:cs="Sylfaen"/>
          <w:szCs w:val="22"/>
          <w:lang w:val="hy-AM"/>
        </w:rPr>
        <w:t>2024թ</w:t>
      </w:r>
      <w:r w:rsidRPr="003B456B">
        <w:rPr>
          <w:rFonts w:ascii="Cambria Math" w:hAnsi="Cambria Math" w:cs="Cambria Math"/>
          <w:szCs w:val="22"/>
          <w:lang w:val="hy-AM"/>
        </w:rPr>
        <w:t>․</w:t>
      </w:r>
      <w:r w:rsidRPr="003B456B">
        <w:rPr>
          <w:rFonts w:ascii="GHEA Grapalat" w:hAnsi="GHEA Grapalat" w:cs="Sylfaen"/>
          <w:szCs w:val="22"/>
          <w:lang w:val="hy-AM"/>
        </w:rPr>
        <w:t xml:space="preserve"> իրականացված ծ</w:t>
      </w:r>
      <w:r w:rsidR="003B456B">
        <w:rPr>
          <w:rFonts w:ascii="GHEA Grapalat" w:hAnsi="GHEA Grapalat" w:cs="Sylfaen"/>
          <w:szCs w:val="22"/>
          <w:lang w:val="hy-AM"/>
        </w:rPr>
        <w:t xml:space="preserve">առայողական քննության նյութերից </w:t>
      </w:r>
      <w:r w:rsidRPr="003B456B">
        <w:rPr>
          <w:rFonts w:ascii="GHEA Grapalat" w:hAnsi="GHEA Grapalat" w:cs="Sylfaen"/>
          <w:szCs w:val="22"/>
          <w:lang w:val="hy-AM"/>
        </w:rPr>
        <w:t>78-ը քննարկվել է ՀՀ ՊԵԿ</w:t>
      </w:r>
      <w:r w:rsidRPr="004D49D0">
        <w:rPr>
          <w:rFonts w:ascii="GHEA Grapalat" w:hAnsi="GHEA Grapalat" w:cs="Sylfaen"/>
          <w:szCs w:val="22"/>
          <w:lang w:val="hy-AM"/>
        </w:rPr>
        <w:t xml:space="preserve"> հարկային և մաքսային մարմինների ծառայողական քննություն անցկացնող հանձնաժողովի կողմից, որի արդյունքում 39 աշխատակիցներ ենթարկվել են կարգապահական պատասխանատվության</w:t>
      </w:r>
      <w:r w:rsidRPr="004D49D0">
        <w:rPr>
          <w:rFonts w:ascii="GHEA Grapalat" w:hAnsi="GHEA Grapalat" w:cs="Sylfaen"/>
          <w:szCs w:val="22"/>
          <w:lang w:val="af-ZA"/>
        </w:rPr>
        <w:t xml:space="preserve">։ </w:t>
      </w:r>
      <w:r w:rsidRPr="004D49D0">
        <w:rPr>
          <w:rFonts w:ascii="GHEA Grapalat" w:hAnsi="GHEA Grapalat" w:cs="Sylfaen"/>
          <w:szCs w:val="22"/>
          <w:lang w:val="hy-AM"/>
        </w:rPr>
        <w:t>Միաժամանակ, համակարգում հարկ վճարողների և հայտարարատուների շահերի ոտնահարման, նրանց գործունեության խոչընդոտման, անհարկի միջամտության, ճնշումների գործադրման, ինչպես նաև կոռուպցիոն ռիսկերը բացառելու նպատակով անձնակազմի շրջանում պարբերաբար կազմակերպվել են շրջայցեր, տարվել</w:t>
      </w:r>
      <w:r w:rsidR="00CE2D1A">
        <w:rPr>
          <w:rFonts w:ascii="GHEA Grapalat" w:hAnsi="GHEA Grapalat" w:cs="Sylfaen"/>
          <w:szCs w:val="22"/>
          <w:lang w:val="hy-AM"/>
        </w:rPr>
        <w:t xml:space="preserve"> </w:t>
      </w:r>
      <w:r w:rsidRPr="004D49D0">
        <w:rPr>
          <w:rFonts w:ascii="GHEA Grapalat" w:hAnsi="GHEA Grapalat" w:cs="Sylfaen"/>
          <w:szCs w:val="22"/>
          <w:lang w:val="hy-AM"/>
        </w:rPr>
        <w:t>բացատրական աշխատանքներ։</w:t>
      </w:r>
    </w:p>
    <w:p w14:paraId="27CCC6A2" w14:textId="66C138B8" w:rsidR="005F209E" w:rsidRPr="004D49D0" w:rsidRDefault="005F209E" w:rsidP="004D49D0">
      <w:pPr>
        <w:pStyle w:val="mechtex"/>
        <w:numPr>
          <w:ilvl w:val="0"/>
          <w:numId w:val="8"/>
        </w:numPr>
        <w:tabs>
          <w:tab w:val="left" w:pos="450"/>
          <w:tab w:val="left" w:pos="851"/>
          <w:tab w:val="left" w:pos="1134"/>
        </w:tabs>
        <w:spacing w:line="276" w:lineRule="auto"/>
        <w:ind w:left="0" w:firstLine="567"/>
        <w:contextualSpacing/>
        <w:jc w:val="both"/>
        <w:rPr>
          <w:rFonts w:ascii="GHEA Grapalat" w:hAnsi="GHEA Grapalat"/>
          <w:szCs w:val="22"/>
          <w:lang w:val="hy-AM"/>
        </w:rPr>
      </w:pPr>
      <w:r w:rsidRPr="004D49D0">
        <w:rPr>
          <w:rFonts w:ascii="GHEA Grapalat" w:hAnsi="GHEA Grapalat"/>
          <w:szCs w:val="22"/>
          <w:lang w:val="hy-AM"/>
        </w:rPr>
        <w:t>ՏՏ նորարարական լուծումներով թվայնացված համակարգերի ներդրման և ՊԵԿ տեղեկատվական բազայի հուսալիության մակարդակի բարձրացման նպատակով իրականացված աշխատանքների շրջանակներում գրանցվել են հետևյալ արդյունքները</w:t>
      </w:r>
      <w:r w:rsidR="003B456B" w:rsidRPr="002570E5">
        <w:rPr>
          <w:rFonts w:ascii="Cambria Math" w:hAnsi="Cambria Math" w:cs="Cambria Math"/>
          <w:szCs w:val="22"/>
          <w:lang w:val="hy-AM"/>
        </w:rPr>
        <w:t>:</w:t>
      </w:r>
    </w:p>
    <w:p w14:paraId="75ED0DB7" w14:textId="6086435F"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Էլեկտրոնային</w:t>
      </w:r>
      <w:r w:rsidRPr="004D49D0">
        <w:rPr>
          <w:rFonts w:ascii="GHEA Grapalat" w:hAnsi="GHEA Grapalat"/>
          <w:szCs w:val="22"/>
          <w:lang w:val="af-ZA"/>
        </w:rPr>
        <w:t xml:space="preserve"> </w:t>
      </w:r>
      <w:r w:rsidRPr="004D49D0">
        <w:rPr>
          <w:rFonts w:ascii="GHEA Grapalat" w:hAnsi="GHEA Grapalat"/>
          <w:szCs w:val="22"/>
          <w:lang w:val="hy-AM"/>
        </w:rPr>
        <w:t>համակարգերի</w:t>
      </w:r>
      <w:r w:rsidRPr="004D49D0">
        <w:rPr>
          <w:rFonts w:ascii="GHEA Grapalat" w:hAnsi="GHEA Grapalat"/>
          <w:szCs w:val="22"/>
          <w:lang w:val="af-ZA"/>
        </w:rPr>
        <w:t xml:space="preserve"> </w:t>
      </w:r>
      <w:r w:rsidRPr="004D49D0">
        <w:rPr>
          <w:rFonts w:ascii="GHEA Grapalat" w:hAnsi="GHEA Grapalat"/>
          <w:szCs w:val="22"/>
          <w:lang w:val="hy-AM"/>
        </w:rPr>
        <w:t>և</w:t>
      </w:r>
      <w:r w:rsidRPr="004D49D0">
        <w:rPr>
          <w:rFonts w:ascii="GHEA Grapalat" w:hAnsi="GHEA Grapalat"/>
          <w:szCs w:val="22"/>
          <w:lang w:val="af-ZA"/>
        </w:rPr>
        <w:t xml:space="preserve"> </w:t>
      </w:r>
      <w:r w:rsidRPr="004D49D0">
        <w:rPr>
          <w:rFonts w:ascii="GHEA Grapalat" w:hAnsi="GHEA Grapalat"/>
          <w:szCs w:val="22"/>
          <w:lang w:val="hy-AM"/>
        </w:rPr>
        <w:t>ենթակառուցվածքների</w:t>
      </w:r>
      <w:r w:rsidRPr="004D49D0">
        <w:rPr>
          <w:rFonts w:ascii="GHEA Grapalat" w:hAnsi="GHEA Grapalat"/>
          <w:szCs w:val="22"/>
          <w:lang w:val="af-ZA"/>
        </w:rPr>
        <w:t xml:space="preserve"> </w:t>
      </w:r>
      <w:r w:rsidRPr="004D49D0">
        <w:rPr>
          <w:rFonts w:ascii="GHEA Grapalat" w:hAnsi="GHEA Grapalat"/>
          <w:szCs w:val="22"/>
          <w:lang w:val="hy-AM"/>
        </w:rPr>
        <w:t>արդիականացման</w:t>
      </w:r>
      <w:r w:rsidRPr="004D49D0">
        <w:rPr>
          <w:rFonts w:ascii="GHEA Grapalat" w:hAnsi="GHEA Grapalat"/>
          <w:szCs w:val="22"/>
          <w:lang w:val="af-ZA"/>
        </w:rPr>
        <w:t xml:space="preserve">, </w:t>
      </w:r>
      <w:r w:rsidRPr="004D49D0">
        <w:rPr>
          <w:rFonts w:ascii="GHEA Grapalat" w:hAnsi="GHEA Grapalat"/>
          <w:szCs w:val="22"/>
          <w:lang w:val="hy-AM"/>
        </w:rPr>
        <w:t>մասնավորապես</w:t>
      </w:r>
      <w:r w:rsidR="003B456B" w:rsidRPr="002570E5">
        <w:rPr>
          <w:rFonts w:ascii="GHEA Grapalat" w:hAnsi="GHEA Grapalat"/>
          <w:szCs w:val="22"/>
          <w:lang w:val="hy-AM"/>
        </w:rPr>
        <w:t>`</w:t>
      </w:r>
      <w:r w:rsidRPr="004D49D0">
        <w:rPr>
          <w:rFonts w:ascii="GHEA Grapalat" w:hAnsi="GHEA Grapalat"/>
          <w:szCs w:val="22"/>
          <w:lang w:val="af-ZA"/>
        </w:rPr>
        <w:t xml:space="preserve"> </w:t>
      </w:r>
      <w:r w:rsidRPr="004D49D0">
        <w:rPr>
          <w:rFonts w:ascii="GHEA Grapalat" w:hAnsi="GHEA Grapalat"/>
          <w:szCs w:val="22"/>
          <w:lang w:val="hy-AM"/>
        </w:rPr>
        <w:t>վերլուծական</w:t>
      </w:r>
      <w:r w:rsidRPr="004D49D0">
        <w:rPr>
          <w:rFonts w:ascii="GHEA Grapalat" w:hAnsi="GHEA Grapalat"/>
          <w:szCs w:val="22"/>
          <w:lang w:val="af-ZA"/>
        </w:rPr>
        <w:t xml:space="preserve"> </w:t>
      </w:r>
      <w:r w:rsidRPr="004D49D0">
        <w:rPr>
          <w:rFonts w:ascii="GHEA Grapalat" w:hAnsi="GHEA Grapalat"/>
          <w:szCs w:val="22"/>
          <w:lang w:val="hy-AM"/>
        </w:rPr>
        <w:t>գործիքների</w:t>
      </w:r>
      <w:r w:rsidRPr="004D49D0">
        <w:rPr>
          <w:rFonts w:ascii="GHEA Grapalat" w:hAnsi="GHEA Grapalat"/>
          <w:szCs w:val="22"/>
          <w:lang w:val="af-ZA"/>
        </w:rPr>
        <w:t xml:space="preserve"> </w:t>
      </w:r>
      <w:r w:rsidRPr="004D49D0">
        <w:rPr>
          <w:rFonts w:ascii="GHEA Grapalat" w:hAnsi="GHEA Grapalat"/>
          <w:szCs w:val="22"/>
          <w:lang w:val="hy-AM"/>
        </w:rPr>
        <w:t>կատարելագործման</w:t>
      </w:r>
      <w:r w:rsidRPr="004D49D0">
        <w:rPr>
          <w:rFonts w:ascii="GHEA Grapalat" w:hAnsi="GHEA Grapalat"/>
          <w:szCs w:val="22"/>
          <w:lang w:val="af-ZA"/>
        </w:rPr>
        <w:t xml:space="preserve"> </w:t>
      </w:r>
      <w:r w:rsidRPr="004D49D0">
        <w:rPr>
          <w:rFonts w:ascii="GHEA Grapalat" w:hAnsi="GHEA Grapalat"/>
          <w:szCs w:val="22"/>
          <w:lang w:val="hy-AM"/>
        </w:rPr>
        <w:t>և</w:t>
      </w:r>
      <w:r w:rsidRPr="004D49D0">
        <w:rPr>
          <w:rFonts w:ascii="GHEA Grapalat" w:hAnsi="GHEA Grapalat"/>
          <w:szCs w:val="22"/>
          <w:lang w:val="af-ZA"/>
        </w:rPr>
        <w:t xml:space="preserve"> </w:t>
      </w:r>
      <w:r w:rsidRPr="004D49D0">
        <w:rPr>
          <w:rFonts w:ascii="GHEA Grapalat" w:hAnsi="GHEA Grapalat"/>
          <w:szCs w:val="22"/>
          <w:lang w:val="hy-AM"/>
        </w:rPr>
        <w:t>ավտոմատացման</w:t>
      </w:r>
      <w:r w:rsidRPr="004D49D0">
        <w:rPr>
          <w:rFonts w:ascii="GHEA Grapalat" w:hAnsi="GHEA Grapalat"/>
          <w:szCs w:val="22"/>
          <w:lang w:val="af-ZA"/>
        </w:rPr>
        <w:t xml:space="preserve"> </w:t>
      </w:r>
      <w:r w:rsidRPr="004D49D0">
        <w:rPr>
          <w:rFonts w:ascii="GHEA Grapalat" w:hAnsi="GHEA Grapalat"/>
          <w:szCs w:val="22"/>
          <w:lang w:val="hy-AM"/>
        </w:rPr>
        <w:t>շրջանակներում</w:t>
      </w:r>
      <w:r w:rsidRPr="004D49D0">
        <w:rPr>
          <w:rFonts w:ascii="GHEA Grapalat" w:hAnsi="GHEA Grapalat"/>
          <w:szCs w:val="22"/>
          <w:lang w:val="af-ZA"/>
        </w:rPr>
        <w:t xml:space="preserve"> 2024</w:t>
      </w:r>
      <w:r w:rsidRPr="004D49D0">
        <w:rPr>
          <w:rFonts w:ascii="GHEA Grapalat" w:hAnsi="GHEA Grapalat"/>
          <w:szCs w:val="22"/>
          <w:lang w:val="hy-AM"/>
        </w:rPr>
        <w:t>թ</w:t>
      </w:r>
      <w:r w:rsidRPr="004D49D0">
        <w:rPr>
          <w:rFonts w:ascii="GHEA Grapalat" w:hAnsi="GHEA Grapalat"/>
          <w:szCs w:val="22"/>
          <w:lang w:val="af-ZA"/>
        </w:rPr>
        <w:t xml:space="preserve">. </w:t>
      </w:r>
      <w:r w:rsidRPr="004D49D0">
        <w:rPr>
          <w:rFonts w:ascii="GHEA Grapalat" w:hAnsi="GHEA Grapalat"/>
          <w:szCs w:val="22"/>
          <w:lang w:val="hy-AM"/>
        </w:rPr>
        <w:t>գործել են</w:t>
      </w:r>
      <w:r w:rsidRPr="004D49D0">
        <w:rPr>
          <w:rFonts w:ascii="GHEA Grapalat" w:hAnsi="GHEA Grapalat"/>
          <w:color w:val="FF0000"/>
          <w:szCs w:val="22"/>
          <w:lang w:val="af-ZA"/>
        </w:rPr>
        <w:t xml:space="preserve"> </w:t>
      </w:r>
      <w:r w:rsidRPr="004D49D0">
        <w:rPr>
          <w:rFonts w:ascii="GHEA Grapalat" w:hAnsi="GHEA Grapalat"/>
          <w:szCs w:val="22"/>
          <w:lang w:val="af-ZA"/>
        </w:rPr>
        <w:t xml:space="preserve">53 </w:t>
      </w:r>
      <w:r w:rsidRPr="004D49D0">
        <w:rPr>
          <w:rFonts w:ascii="GHEA Grapalat" w:hAnsi="GHEA Grapalat"/>
          <w:szCs w:val="22"/>
          <w:lang w:val="hy-AM"/>
        </w:rPr>
        <w:t>ստանդարտ</w:t>
      </w:r>
      <w:r w:rsidRPr="004D49D0">
        <w:rPr>
          <w:rFonts w:ascii="GHEA Grapalat" w:hAnsi="GHEA Grapalat"/>
          <w:szCs w:val="22"/>
          <w:lang w:val="af-ZA"/>
        </w:rPr>
        <w:t xml:space="preserve"> </w:t>
      </w:r>
      <w:r w:rsidRPr="004D49D0">
        <w:rPr>
          <w:rFonts w:ascii="GHEA Grapalat" w:hAnsi="GHEA Grapalat"/>
          <w:szCs w:val="22"/>
          <w:lang w:val="hy-AM"/>
        </w:rPr>
        <w:t>վերլուծական</w:t>
      </w:r>
      <w:r w:rsidRPr="004D49D0">
        <w:rPr>
          <w:rFonts w:ascii="GHEA Grapalat" w:hAnsi="GHEA Grapalat"/>
          <w:szCs w:val="22"/>
          <w:lang w:val="af-ZA"/>
        </w:rPr>
        <w:t xml:space="preserve"> </w:t>
      </w:r>
      <w:r w:rsidRPr="004D49D0">
        <w:rPr>
          <w:rFonts w:ascii="GHEA Grapalat" w:hAnsi="GHEA Grapalat"/>
          <w:szCs w:val="22"/>
          <w:lang w:val="hy-AM"/>
        </w:rPr>
        <w:t>հաշվետվական</w:t>
      </w:r>
      <w:r w:rsidRPr="004D49D0">
        <w:rPr>
          <w:rFonts w:ascii="GHEA Grapalat" w:hAnsi="GHEA Grapalat"/>
          <w:szCs w:val="22"/>
          <w:lang w:val="af-ZA"/>
        </w:rPr>
        <w:t xml:space="preserve"> </w:t>
      </w:r>
      <w:r w:rsidRPr="004D49D0">
        <w:rPr>
          <w:rFonts w:ascii="GHEA Grapalat" w:hAnsi="GHEA Grapalat"/>
          <w:szCs w:val="22"/>
          <w:lang w:val="hy-AM"/>
        </w:rPr>
        <w:t>ձևեր</w:t>
      </w:r>
      <w:r w:rsidRPr="004D49D0">
        <w:rPr>
          <w:rFonts w:ascii="GHEA Grapalat" w:hAnsi="GHEA Grapalat"/>
          <w:szCs w:val="22"/>
          <w:lang w:val="af-ZA"/>
        </w:rPr>
        <w:t xml:space="preserve"> </w:t>
      </w:r>
      <w:r w:rsidRPr="004D49D0">
        <w:rPr>
          <w:rFonts w:ascii="GHEA Grapalat" w:hAnsi="GHEA Grapalat"/>
          <w:szCs w:val="22"/>
          <w:lang w:val="hy-AM"/>
        </w:rPr>
        <w:t>և</w:t>
      </w:r>
      <w:r w:rsidRPr="004D49D0">
        <w:rPr>
          <w:rFonts w:ascii="GHEA Grapalat" w:hAnsi="GHEA Grapalat"/>
          <w:szCs w:val="22"/>
          <w:lang w:val="af-ZA"/>
        </w:rPr>
        <w:t xml:space="preserve"> 66 </w:t>
      </w:r>
      <w:r w:rsidRPr="004D49D0">
        <w:rPr>
          <w:rFonts w:ascii="GHEA Grapalat" w:hAnsi="GHEA Grapalat"/>
          <w:szCs w:val="22"/>
          <w:lang w:val="hy-AM"/>
        </w:rPr>
        <w:t>ռիսկային</w:t>
      </w:r>
      <w:r w:rsidRPr="004D49D0">
        <w:rPr>
          <w:rFonts w:ascii="GHEA Grapalat" w:hAnsi="GHEA Grapalat"/>
          <w:szCs w:val="22"/>
          <w:lang w:val="af-ZA"/>
        </w:rPr>
        <w:t xml:space="preserve"> </w:t>
      </w:r>
      <w:r w:rsidRPr="004D49D0">
        <w:rPr>
          <w:rFonts w:ascii="GHEA Grapalat" w:hAnsi="GHEA Grapalat"/>
          <w:szCs w:val="22"/>
          <w:lang w:val="hy-AM"/>
        </w:rPr>
        <w:t>չափանիշներ։</w:t>
      </w:r>
    </w:p>
    <w:p w14:paraId="223426A9" w14:textId="77777777"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szCs w:val="22"/>
          <w:lang w:val="hy-AM"/>
        </w:rPr>
        <w:t>Մշակվել և 2025թ</w:t>
      </w:r>
      <w:r w:rsidRPr="004D49D0">
        <w:rPr>
          <w:rFonts w:ascii="Cambria Math" w:hAnsi="Cambria Math" w:cs="Cambria Math"/>
          <w:szCs w:val="22"/>
          <w:lang w:val="hy-AM"/>
        </w:rPr>
        <w:t>․</w:t>
      </w:r>
      <w:r w:rsidRPr="004D49D0">
        <w:rPr>
          <w:rFonts w:ascii="GHEA Grapalat" w:hAnsi="GHEA Grapalat"/>
          <w:szCs w:val="22"/>
          <w:lang w:val="hy-AM"/>
        </w:rPr>
        <w:t xml:space="preserve"> </w:t>
      </w:r>
      <w:r w:rsidRPr="004D49D0">
        <w:rPr>
          <w:rFonts w:ascii="GHEA Grapalat" w:hAnsi="GHEA Grapalat" w:cs="GHEA Grapalat"/>
          <w:szCs w:val="22"/>
          <w:lang w:val="hy-AM"/>
        </w:rPr>
        <w:t>հունվարի</w:t>
      </w:r>
      <w:r w:rsidRPr="004D49D0">
        <w:rPr>
          <w:rFonts w:ascii="GHEA Grapalat" w:hAnsi="GHEA Grapalat"/>
          <w:szCs w:val="22"/>
          <w:lang w:val="hy-AM"/>
        </w:rPr>
        <w:t xml:space="preserve"> 1-</w:t>
      </w:r>
      <w:r w:rsidRPr="004D49D0">
        <w:rPr>
          <w:rFonts w:ascii="GHEA Grapalat" w:hAnsi="GHEA Grapalat" w:cs="GHEA Grapalat"/>
          <w:szCs w:val="22"/>
          <w:lang w:val="hy-AM"/>
        </w:rPr>
        <w:t>ից</w:t>
      </w:r>
      <w:r w:rsidRPr="004D49D0">
        <w:rPr>
          <w:rFonts w:ascii="GHEA Grapalat" w:hAnsi="GHEA Grapalat"/>
          <w:szCs w:val="22"/>
          <w:lang w:val="hy-AM"/>
        </w:rPr>
        <w:t xml:space="preserve"> </w:t>
      </w:r>
      <w:r w:rsidRPr="004D49D0">
        <w:rPr>
          <w:rFonts w:ascii="GHEA Grapalat" w:hAnsi="GHEA Grapalat" w:cs="GHEA Grapalat"/>
          <w:szCs w:val="22"/>
          <w:lang w:val="hy-AM"/>
        </w:rPr>
        <w:t>ն</w:t>
      </w:r>
      <w:r w:rsidRPr="004D49D0">
        <w:rPr>
          <w:rFonts w:ascii="GHEA Grapalat" w:hAnsi="GHEA Grapalat"/>
          <w:szCs w:val="22"/>
          <w:lang w:val="hy-AM"/>
        </w:rPr>
        <w:t xml:space="preserve">երդրվել է հարկ վճարողների անձնական հաշվի քարտերում գումարների հաշվառման նոր համակարգ, որի արդյունքում հարկ վճարողների հարկային պարտավորությունները և դեբետային գումարներն էլեկտրոնային եղանակով հաշվառվում են </w:t>
      </w:r>
      <w:r w:rsidRPr="004D49D0">
        <w:rPr>
          <w:rFonts w:ascii="GHEA Grapalat" w:hAnsi="GHEA Grapalat"/>
          <w:bCs/>
          <w:szCs w:val="22"/>
          <w:lang w:val="hy-AM"/>
        </w:rPr>
        <w:t xml:space="preserve">երկու </w:t>
      </w:r>
      <w:r w:rsidRPr="004D49D0">
        <w:rPr>
          <w:rFonts w:ascii="GHEA Grapalat" w:hAnsi="GHEA Grapalat"/>
          <w:szCs w:val="22"/>
          <w:lang w:val="hy-AM"/>
        </w:rPr>
        <w:t xml:space="preserve">տարբեր անձնական հաշվի քարտերում՝ </w:t>
      </w:r>
      <w:r w:rsidRPr="004D49D0">
        <w:rPr>
          <w:rFonts w:ascii="GHEA Grapalat" w:hAnsi="GHEA Grapalat"/>
          <w:bCs/>
          <w:szCs w:val="22"/>
          <w:lang w:val="hy-AM"/>
        </w:rPr>
        <w:t>հարկատեսակների և վարչական ակտի։</w:t>
      </w:r>
    </w:p>
    <w:p w14:paraId="45BBDA91" w14:textId="77777777"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cs="Sylfaen"/>
          <w:szCs w:val="22"/>
          <w:lang w:val="hy-AM"/>
        </w:rPr>
        <w:t>Երրորդ անձանցից ստացվող տեղեկությունների մշակման էլեկտրոնային համակարգերի կատարելագործման արդյունքում «ԷԿԵՆԳ» ՓԲԸ-ի միջոցով ապահովվել է ՀՀ ՊԵԿ հասանելիությունը շարժական գույքի տեղեկատվական շտեմարանին։</w:t>
      </w:r>
    </w:p>
    <w:p w14:paraId="52BCB6DB" w14:textId="05701CEA"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cs="Sylfaen"/>
          <w:szCs w:val="22"/>
          <w:lang w:val="hy-AM"/>
        </w:rPr>
        <w:t xml:space="preserve">Ներդրվել է տաքսի ծառայության ոլորտը կարգավորող համակարգը, որը գործում է վեբ և բջջային հավելվածի տարբերակներով։ Տաքսի ծառայություն մատուցող անհատ վարորդների համար </w:t>
      </w:r>
      <w:r w:rsidRPr="004D49D0">
        <w:rPr>
          <w:rFonts w:ascii="GHEA Grapalat" w:hAnsi="GHEA Grapalat" w:cs="Sylfaen"/>
          <w:szCs w:val="22"/>
          <w:lang w:val="hy-AM"/>
        </w:rPr>
        <w:lastRenderedPageBreak/>
        <w:t>ներդրվել է My tax բջջային հավելվածը, որը հնարավորություն է տալիս պատվեր կատարելուց հետո գեներացնել էլեկտրոնային ՀԴՄ կտրոնն ու այն տրամադրել հաճախորդին՝ իր նախընտրած առցանց տարբերակներից որևէ մեկով։ 2024թ. դեկտեմբերի 31-ի դրությամբ հա</w:t>
      </w:r>
      <w:r w:rsidR="002460E4">
        <w:rPr>
          <w:rFonts w:ascii="GHEA Grapalat" w:hAnsi="GHEA Grapalat" w:cs="Sylfaen"/>
          <w:szCs w:val="22"/>
          <w:lang w:val="hy-AM"/>
        </w:rPr>
        <w:t xml:space="preserve">մակարգում հաշվառված </w:t>
      </w:r>
      <w:r w:rsidR="002460E4" w:rsidRPr="002570E5">
        <w:rPr>
          <w:rFonts w:ascii="GHEA Grapalat" w:hAnsi="GHEA Grapalat" w:cs="Sylfaen"/>
          <w:szCs w:val="22"/>
          <w:lang w:val="hy-AM"/>
        </w:rPr>
        <w:t>է</w:t>
      </w:r>
      <w:r w:rsidRPr="004D49D0">
        <w:rPr>
          <w:rFonts w:ascii="GHEA Grapalat" w:hAnsi="GHEA Grapalat" w:cs="Sylfaen"/>
          <w:szCs w:val="22"/>
          <w:lang w:val="hy-AM"/>
        </w:rPr>
        <w:t xml:space="preserve"> շուրջ 60,000 ֆիզիկական անձ, վարորդների կողմից գեներացվել է շուրջ 25 մլն էլեկտրոնային ՀԴՄ կտրոն՝ մոտ 30 մլրդ դրամի չափով, որից վճարման ենթակա պետական տուրքի գումարը կազմում է 488 մլն դրամ։</w:t>
      </w:r>
    </w:p>
    <w:p w14:paraId="2CBFC2A8" w14:textId="77777777"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cs="Sylfaen"/>
          <w:szCs w:val="22"/>
          <w:lang w:val="hy-AM"/>
        </w:rPr>
        <w:t>Ընդլայնվել է արհեստական բանականության և մեքենայական ուսուցման մեթոդների կիրառմամբ մշակված համակարգը, որը հնարավորություն է ընձեռում մեծ ծավալի տվյալներ մշակելով և վերլուծելով գտնել հարկ վճարողների գործունեության հետ կապված անհամապատասխանություններ` ըստ տրված չափանիշների։</w:t>
      </w:r>
    </w:p>
    <w:p w14:paraId="539B6B5D" w14:textId="77777777"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cs="Sylfaen"/>
          <w:szCs w:val="22"/>
          <w:lang w:val="hy-AM"/>
        </w:rPr>
        <w:t>Գործարկվել է մի քանի աղբյուրից ստացման ենթակա (ստացված) եկամտից հաշվարկված և փոխանցված (գանձված) սոցիալական վճարների առավելագույն չափը գերազանցող գումարները մասնակիցներին վերադարձնելու գործընթացի ավտոմատ համակարգը:</w:t>
      </w:r>
    </w:p>
    <w:p w14:paraId="0C72C1CE" w14:textId="77777777"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cs="Sylfaen"/>
          <w:szCs w:val="22"/>
          <w:lang w:val="hy-AM"/>
        </w:rPr>
        <w:t>Ներդրվել է վիրտուալ պահեստ` կեղծ և փորձաքննություն չանցած դեղերի նկատմամբ հսկողության ավտոմատացված տեղեկատվական համակարգը։</w:t>
      </w:r>
    </w:p>
    <w:p w14:paraId="2981A858" w14:textId="03DED021" w:rsidR="005F209E" w:rsidRPr="004D49D0"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D49D0">
        <w:rPr>
          <w:rFonts w:ascii="GHEA Grapalat" w:hAnsi="GHEA Grapalat" w:cs="Sylfaen"/>
          <w:szCs w:val="22"/>
          <w:lang w:val="hy-AM"/>
        </w:rPr>
        <w:t>Ստեղծվել է POS տերմինալների միջոցով մաքսային մարմինների կողմից հավաքագրման ենթակա հարկեր/տուրքերի վճարո</w:t>
      </w:r>
      <w:r w:rsidR="00487C46">
        <w:rPr>
          <w:rFonts w:ascii="GHEA Grapalat" w:hAnsi="GHEA Grapalat" w:cs="Sylfaen"/>
          <w:szCs w:val="22"/>
          <w:lang w:val="hy-AM"/>
        </w:rPr>
        <w:t>ւմը տեղում իրականացնելու հնարավո</w:t>
      </w:r>
      <w:r w:rsidRPr="004D49D0">
        <w:rPr>
          <w:rFonts w:ascii="GHEA Grapalat" w:hAnsi="GHEA Grapalat" w:cs="Sylfaen"/>
          <w:szCs w:val="22"/>
          <w:lang w:val="hy-AM"/>
        </w:rPr>
        <w:t>րություն։</w:t>
      </w:r>
    </w:p>
    <w:p w14:paraId="6E240DC2" w14:textId="77777777" w:rsidR="005F209E" w:rsidRPr="00487C46" w:rsidRDefault="005F209E" w:rsidP="004D49D0">
      <w:pPr>
        <w:pStyle w:val="mechtex"/>
        <w:numPr>
          <w:ilvl w:val="0"/>
          <w:numId w:val="7"/>
        </w:numPr>
        <w:tabs>
          <w:tab w:val="left" w:pos="810"/>
          <w:tab w:val="left" w:pos="1134"/>
        </w:tabs>
        <w:spacing w:line="276" w:lineRule="auto"/>
        <w:ind w:left="0" w:firstLine="851"/>
        <w:contextualSpacing/>
        <w:jc w:val="both"/>
        <w:rPr>
          <w:rFonts w:ascii="GHEA Grapalat" w:hAnsi="GHEA Grapalat"/>
          <w:szCs w:val="22"/>
          <w:lang w:val="af-ZA"/>
        </w:rPr>
      </w:pPr>
      <w:r w:rsidRPr="00487C46">
        <w:rPr>
          <w:rFonts w:ascii="GHEA Grapalat" w:hAnsi="GHEA Grapalat" w:cs="Sylfaen"/>
          <w:szCs w:val="22"/>
          <w:lang w:val="hy-AM"/>
        </w:rPr>
        <w:t>Ներդրվել է մաքսային հայտարարագրերի և ծանուցումների կառավարման նոր ենթահամակարգը, որը թույլ է տալիս ապրանքների հայտարարագրերի սպասարկումն ու հայտարարատուներին ապրանքների բացթողնմանն առնչվող տեղեկատվության ծանուցումն իրականացնել հեռավար կարգով։</w:t>
      </w:r>
    </w:p>
    <w:p w14:paraId="7830CADA" w14:textId="77777777" w:rsidR="005F209E" w:rsidRPr="00487C46" w:rsidRDefault="005F209E" w:rsidP="004D49D0">
      <w:pPr>
        <w:pStyle w:val="mechtex"/>
        <w:numPr>
          <w:ilvl w:val="0"/>
          <w:numId w:val="8"/>
        </w:numPr>
        <w:tabs>
          <w:tab w:val="left" w:pos="450"/>
          <w:tab w:val="left" w:pos="851"/>
        </w:tabs>
        <w:spacing w:line="276" w:lineRule="auto"/>
        <w:ind w:left="0" w:firstLine="567"/>
        <w:contextualSpacing/>
        <w:jc w:val="both"/>
        <w:rPr>
          <w:rFonts w:ascii="GHEA Grapalat" w:hAnsi="GHEA Grapalat"/>
          <w:szCs w:val="22"/>
          <w:lang w:val="af-ZA"/>
        </w:rPr>
      </w:pPr>
      <w:r w:rsidRPr="00487C46">
        <w:rPr>
          <w:rFonts w:ascii="GHEA Grapalat" w:hAnsi="GHEA Grapalat"/>
          <w:szCs w:val="22"/>
          <w:lang w:val="hy-AM"/>
        </w:rPr>
        <w:t>Վ</w:t>
      </w:r>
      <w:r w:rsidRPr="00487C46">
        <w:rPr>
          <w:rFonts w:ascii="GHEA Grapalat" w:hAnsi="GHEA Grapalat"/>
          <w:szCs w:val="22"/>
          <w:lang w:val="af-ZA"/>
        </w:rPr>
        <w:t>արչարարության արդյունավետության</w:t>
      </w:r>
      <w:r w:rsidRPr="00487C46">
        <w:rPr>
          <w:rFonts w:ascii="GHEA Grapalat" w:hAnsi="GHEA Grapalat"/>
          <w:szCs w:val="22"/>
          <w:lang w:val="hy-AM"/>
        </w:rPr>
        <w:t xml:space="preserve"> բարձրացման</w:t>
      </w:r>
      <w:r w:rsidRPr="00487C46">
        <w:rPr>
          <w:rFonts w:ascii="GHEA Grapalat" w:hAnsi="GHEA Grapalat"/>
          <w:szCs w:val="22"/>
          <w:lang w:val="af-ZA"/>
        </w:rPr>
        <w:t xml:space="preserve">, hարկային և մաքսային </w:t>
      </w:r>
      <w:r w:rsidRPr="00487C46">
        <w:rPr>
          <w:rFonts w:ascii="GHEA Grapalat" w:hAnsi="GHEA Grapalat"/>
          <w:szCs w:val="22"/>
          <w:lang w:val="hy-AM"/>
        </w:rPr>
        <w:t xml:space="preserve">ռիսկերի կառավարման համակարգերի կատարելագործման, </w:t>
      </w:r>
      <w:r w:rsidRPr="00487C46">
        <w:rPr>
          <w:rFonts w:ascii="GHEA Grapalat" w:hAnsi="GHEA Grapalat"/>
          <w:szCs w:val="22"/>
          <w:lang w:val="af-ZA"/>
        </w:rPr>
        <w:t>ինչպես նաև կամավոր կարգապահության բարձրացման նպատակով կատարված աշխատանքների շրջանակներում արձանագրվել են հետևյալ արդյունքները</w:t>
      </w:r>
      <w:r w:rsidRPr="00487C46">
        <w:rPr>
          <w:rFonts w:ascii="Cambria Math" w:hAnsi="Cambria Math" w:cs="Cambria Math"/>
          <w:szCs w:val="22"/>
          <w:lang w:val="af-ZA"/>
        </w:rPr>
        <w:t>․</w:t>
      </w:r>
    </w:p>
    <w:p w14:paraId="02E3054F" w14:textId="48E8A381" w:rsidR="005F209E" w:rsidRPr="00487C46" w:rsidRDefault="005F209E" w:rsidP="00E37F5C">
      <w:pPr>
        <w:pStyle w:val="mechtex"/>
        <w:numPr>
          <w:ilvl w:val="0"/>
          <w:numId w:val="9"/>
        </w:numPr>
        <w:tabs>
          <w:tab w:val="left" w:pos="270"/>
          <w:tab w:val="left" w:pos="810"/>
          <w:tab w:val="left" w:pos="1134"/>
        </w:tabs>
        <w:spacing w:line="276" w:lineRule="auto"/>
        <w:ind w:left="0" w:firstLine="851"/>
        <w:contextualSpacing/>
        <w:jc w:val="both"/>
        <w:rPr>
          <w:rFonts w:ascii="GHEA Grapalat" w:hAnsi="GHEA Grapalat"/>
          <w:szCs w:val="22"/>
          <w:lang w:val="hy-AM"/>
        </w:rPr>
      </w:pPr>
      <w:r w:rsidRPr="00487C46">
        <w:rPr>
          <w:rFonts w:ascii="GHEA Grapalat" w:hAnsi="GHEA Grapalat" w:cs="Sylfaen"/>
          <w:szCs w:val="22"/>
          <w:lang w:val="af-ZA"/>
        </w:rPr>
        <w:t>2024</w:t>
      </w:r>
      <w:r w:rsidRPr="00487C46">
        <w:rPr>
          <w:rFonts w:ascii="GHEA Grapalat" w:hAnsi="GHEA Grapalat"/>
          <w:szCs w:val="22"/>
          <w:lang w:val="hy-AM"/>
        </w:rPr>
        <w:t>թ</w:t>
      </w:r>
      <w:r w:rsidRPr="00487C46">
        <w:rPr>
          <w:rFonts w:ascii="Cambria Math" w:hAnsi="Cambria Math" w:cs="Cambria Math"/>
          <w:szCs w:val="22"/>
          <w:lang w:val="hy-AM"/>
        </w:rPr>
        <w:t>․</w:t>
      </w:r>
      <w:r w:rsidRPr="00487C46">
        <w:rPr>
          <w:rFonts w:ascii="GHEA Grapalat" w:hAnsi="GHEA Grapalat" w:cs="Sylfaen"/>
          <w:szCs w:val="22"/>
          <w:lang w:val="af-ZA"/>
        </w:rPr>
        <w:t xml:space="preserve"> ընթացքում վերանայվել է </w:t>
      </w:r>
      <w:r w:rsidRPr="00487C46">
        <w:rPr>
          <w:rFonts w:ascii="GHEA Grapalat" w:hAnsi="GHEA Grapalat" w:cs="Sylfaen"/>
          <w:szCs w:val="22"/>
          <w:lang w:val="hy-AM"/>
        </w:rPr>
        <w:t>ռ</w:t>
      </w:r>
      <w:r w:rsidRPr="00487C46">
        <w:rPr>
          <w:rFonts w:ascii="GHEA Grapalat" w:hAnsi="GHEA Grapalat" w:cs="Sylfaen"/>
          <w:szCs w:val="22"/>
          <w:lang w:val="af-ZA"/>
        </w:rPr>
        <w:t>իսկերի կառավարման և</w:t>
      </w:r>
      <w:r w:rsidRPr="00487C46">
        <w:rPr>
          <w:rFonts w:ascii="GHEA Grapalat" w:hAnsi="GHEA Grapalat" w:cs="Sylfaen"/>
          <w:szCs w:val="22"/>
          <w:lang w:val="hy-AM"/>
        </w:rPr>
        <w:t xml:space="preserve"> համալիր հարկային</w:t>
      </w:r>
      <w:r w:rsidRPr="00487C46">
        <w:rPr>
          <w:rFonts w:ascii="GHEA Grapalat" w:hAnsi="GHEA Grapalat" w:cs="Sylfaen"/>
          <w:szCs w:val="22"/>
          <w:lang w:val="af-ZA"/>
        </w:rPr>
        <w:t xml:space="preserve"> ստուգման ենթակա հարկ վճարողների ընտրողականության էլեկտրոնային համակարգ</w:t>
      </w:r>
      <w:r w:rsidRPr="00487C46">
        <w:rPr>
          <w:rFonts w:ascii="GHEA Grapalat" w:hAnsi="GHEA Grapalat" w:cs="Sylfaen"/>
          <w:szCs w:val="22"/>
          <w:lang w:val="hy-AM"/>
        </w:rPr>
        <w:t>ը</w:t>
      </w:r>
      <w:r w:rsidRPr="00487C46">
        <w:rPr>
          <w:rFonts w:ascii="GHEA Grapalat" w:hAnsi="GHEA Grapalat" w:cs="Sylfaen"/>
          <w:szCs w:val="22"/>
          <w:lang w:val="af-ZA"/>
        </w:rPr>
        <w:t>։</w:t>
      </w:r>
    </w:p>
    <w:p w14:paraId="5A4F61C4" w14:textId="70802C25" w:rsidR="005F209E" w:rsidRPr="00487C46" w:rsidRDefault="005F209E" w:rsidP="00E37F5C">
      <w:pPr>
        <w:pStyle w:val="mechtex"/>
        <w:numPr>
          <w:ilvl w:val="0"/>
          <w:numId w:val="9"/>
        </w:numPr>
        <w:tabs>
          <w:tab w:val="left" w:pos="270"/>
          <w:tab w:val="left" w:pos="810"/>
          <w:tab w:val="left" w:pos="1134"/>
        </w:tabs>
        <w:spacing w:line="276" w:lineRule="auto"/>
        <w:ind w:left="0" w:firstLine="851"/>
        <w:contextualSpacing/>
        <w:jc w:val="both"/>
        <w:rPr>
          <w:rFonts w:ascii="GHEA Grapalat" w:hAnsi="GHEA Grapalat"/>
          <w:szCs w:val="22"/>
          <w:lang w:val="hy-AM"/>
        </w:rPr>
      </w:pPr>
      <w:r w:rsidRPr="00487C46">
        <w:rPr>
          <w:rFonts w:ascii="GHEA Grapalat" w:hAnsi="GHEA Grapalat" w:cs="Sylfaen"/>
          <w:szCs w:val="22"/>
          <w:lang w:val="af-ZA"/>
        </w:rPr>
        <w:t>2024թ</w:t>
      </w:r>
      <w:r w:rsidRPr="00487C46">
        <w:rPr>
          <w:rFonts w:ascii="Cambria Math" w:hAnsi="Cambria Math" w:cs="Cambria Math"/>
          <w:szCs w:val="22"/>
          <w:lang w:val="af-ZA"/>
        </w:rPr>
        <w:t>․</w:t>
      </w:r>
      <w:r w:rsidR="00487C46" w:rsidRPr="00487C46">
        <w:rPr>
          <w:rFonts w:ascii="GHEA Grapalat" w:hAnsi="GHEA Grapalat" w:cs="Cambria Math"/>
          <w:szCs w:val="22"/>
          <w:lang w:val="af-ZA"/>
        </w:rPr>
        <w:t xml:space="preserve"> մարտի 28-ին</w:t>
      </w:r>
      <w:r w:rsidRPr="00487C46">
        <w:rPr>
          <w:rFonts w:ascii="GHEA Grapalat" w:hAnsi="GHEA Grapalat" w:cs="Sylfaen"/>
          <w:szCs w:val="22"/>
          <w:lang w:val="af-ZA"/>
        </w:rPr>
        <w:t xml:space="preserve"> ընդունվել է «ՀՀ</w:t>
      </w:r>
      <w:r w:rsidRPr="00487C46">
        <w:rPr>
          <w:rFonts w:ascii="GHEA Grapalat" w:hAnsi="GHEA Grapalat" w:cs="Sylfaen"/>
          <w:szCs w:val="22"/>
          <w:lang w:val="hy-AM"/>
        </w:rPr>
        <w:t xml:space="preserve"> </w:t>
      </w:r>
      <w:r w:rsidRPr="00487C46">
        <w:rPr>
          <w:rFonts w:ascii="GHEA Grapalat" w:hAnsi="GHEA Grapalat" w:cs="Sylfaen"/>
          <w:szCs w:val="22"/>
          <w:lang w:val="af-ZA"/>
        </w:rPr>
        <w:t>կառավարության 2017թ</w:t>
      </w:r>
      <w:r w:rsidRPr="00487C46">
        <w:rPr>
          <w:rFonts w:ascii="GHEA Grapalat" w:hAnsi="GHEA Grapalat" w:cs="Sylfaen"/>
          <w:szCs w:val="22"/>
          <w:lang w:val="hy-AM"/>
        </w:rPr>
        <w:t>.</w:t>
      </w:r>
      <w:r w:rsidRPr="00487C46">
        <w:rPr>
          <w:rFonts w:ascii="GHEA Grapalat" w:hAnsi="GHEA Grapalat" w:cs="Sylfaen"/>
          <w:szCs w:val="22"/>
          <w:lang w:val="af-ZA"/>
        </w:rPr>
        <w:t xml:space="preserve"> մայիսի 25-ի N 570-Ն որոշման մեջ լրացումներ կատարելու մասին» N</w:t>
      </w:r>
      <w:r w:rsidR="00487C46" w:rsidRPr="00487C46">
        <w:rPr>
          <w:rFonts w:ascii="GHEA Grapalat" w:hAnsi="GHEA Grapalat" w:cs="Sylfaen"/>
          <w:szCs w:val="22"/>
          <w:lang w:val="af-ZA"/>
        </w:rPr>
        <w:t xml:space="preserve"> </w:t>
      </w:r>
      <w:r w:rsidRPr="00487C46">
        <w:rPr>
          <w:rFonts w:ascii="GHEA Grapalat" w:hAnsi="GHEA Grapalat" w:cs="Sylfaen"/>
          <w:szCs w:val="22"/>
          <w:lang w:val="af-ZA"/>
        </w:rPr>
        <w:t>420-Ն որոշումը, որով սահմանվել են հարկային մարմնի գործունեության շրջանակներում ռիսկի վրա հիմնված թեմատիկ հարկային ստուգումների մեթոդաբանությունը և ռիսկայնությունը որոշող չափանիշները:</w:t>
      </w:r>
    </w:p>
    <w:p w14:paraId="445E062E" w14:textId="77777777" w:rsidR="00E37F5C" w:rsidRPr="00E37F5C" w:rsidRDefault="005F209E" w:rsidP="00E37F5C">
      <w:pPr>
        <w:pStyle w:val="mechtex"/>
        <w:numPr>
          <w:ilvl w:val="0"/>
          <w:numId w:val="9"/>
        </w:numPr>
        <w:tabs>
          <w:tab w:val="left" w:pos="270"/>
          <w:tab w:val="left" w:pos="810"/>
          <w:tab w:val="left" w:pos="1134"/>
        </w:tabs>
        <w:spacing w:line="276" w:lineRule="auto"/>
        <w:ind w:left="0" w:firstLine="851"/>
        <w:contextualSpacing/>
        <w:jc w:val="both"/>
        <w:rPr>
          <w:rFonts w:ascii="GHEA Grapalat" w:hAnsi="GHEA Grapalat" w:cs="Sylfaen"/>
          <w:szCs w:val="22"/>
          <w:lang w:val="hy-AM"/>
        </w:rPr>
      </w:pPr>
      <w:r w:rsidRPr="00E37F5C">
        <w:rPr>
          <w:rFonts w:ascii="GHEA Grapalat" w:hAnsi="GHEA Grapalat" w:cs="Sylfaen"/>
          <w:szCs w:val="22"/>
          <w:lang w:val="hy-AM"/>
        </w:rPr>
        <w:t>Կատարված հսկողական միջոցառումների արդյունքում 2024</w:t>
      </w:r>
      <w:r w:rsidRPr="00E37F5C">
        <w:rPr>
          <w:rFonts w:ascii="GHEA Grapalat" w:hAnsi="GHEA Grapalat"/>
          <w:szCs w:val="22"/>
          <w:lang w:val="hy-AM"/>
        </w:rPr>
        <w:t>թ</w:t>
      </w:r>
      <w:r w:rsidRPr="00E37F5C">
        <w:rPr>
          <w:rFonts w:ascii="Cambria Math" w:hAnsi="Cambria Math" w:cs="Cambria Math"/>
          <w:szCs w:val="22"/>
          <w:lang w:val="hy-AM"/>
        </w:rPr>
        <w:t>․</w:t>
      </w:r>
      <w:r w:rsidRPr="00E37F5C">
        <w:rPr>
          <w:rFonts w:ascii="GHEA Grapalat" w:hAnsi="GHEA Grapalat" w:cs="Cambria Math"/>
          <w:szCs w:val="22"/>
          <w:lang w:val="hy-AM"/>
        </w:rPr>
        <w:t xml:space="preserve"> </w:t>
      </w:r>
      <w:r w:rsidRPr="00E37F5C">
        <w:rPr>
          <w:rFonts w:ascii="GHEA Grapalat" w:hAnsi="GHEA Grapalat" w:cs="Sylfaen"/>
          <w:szCs w:val="22"/>
          <w:lang w:val="hy-AM"/>
        </w:rPr>
        <w:t xml:space="preserve">ընթացքում հարկ վճարողների կողմից դուրս գրված հաշվարկային փաստաթղթերի քանակը (առանց ՀԴՄ կտրոնների քանակի) նախորդ </w:t>
      </w:r>
      <w:r w:rsidR="00487C46" w:rsidRPr="002570E5">
        <w:rPr>
          <w:rFonts w:ascii="GHEA Grapalat" w:hAnsi="GHEA Grapalat" w:cs="Sylfaen"/>
          <w:szCs w:val="22"/>
          <w:lang w:val="hy-AM"/>
        </w:rPr>
        <w:t>տարվա</w:t>
      </w:r>
      <w:r w:rsidRPr="00E37F5C">
        <w:rPr>
          <w:rFonts w:ascii="GHEA Grapalat" w:hAnsi="GHEA Grapalat" w:cs="Sylfaen"/>
          <w:szCs w:val="22"/>
          <w:lang w:val="hy-AM"/>
        </w:rPr>
        <w:t xml:space="preserve"> համեմատ ավելացել է 10</w:t>
      </w:r>
      <w:r w:rsidRPr="00E37F5C">
        <w:rPr>
          <w:rFonts w:ascii="Cambria Math" w:hAnsi="Cambria Math" w:cs="Cambria Math"/>
          <w:szCs w:val="22"/>
          <w:lang w:val="hy-AM"/>
        </w:rPr>
        <w:t>․</w:t>
      </w:r>
      <w:r w:rsidRPr="00E37F5C">
        <w:rPr>
          <w:rFonts w:ascii="GHEA Grapalat" w:hAnsi="GHEA Grapalat" w:cs="Sylfaen"/>
          <w:szCs w:val="22"/>
          <w:lang w:val="hy-AM"/>
        </w:rPr>
        <w:t>5 մլն հատով կամ 28.2%-ով, իսկ իրացման շրջանառությունը՝ 1,498 մլրդ դրամով կամ 15.8%-ով: ՀԴՄ կտրոնների քանակն ավելացել է 69</w:t>
      </w:r>
      <w:r w:rsidRPr="00E37F5C">
        <w:rPr>
          <w:rFonts w:ascii="Cambria Math" w:hAnsi="Cambria Math" w:cs="Cambria Math"/>
          <w:szCs w:val="22"/>
          <w:lang w:val="hy-AM"/>
        </w:rPr>
        <w:t>․</w:t>
      </w:r>
      <w:r w:rsidRPr="00E37F5C">
        <w:rPr>
          <w:rFonts w:ascii="GHEA Grapalat" w:hAnsi="GHEA Grapalat" w:cs="Sylfaen"/>
          <w:szCs w:val="22"/>
          <w:lang w:val="hy-AM"/>
        </w:rPr>
        <w:t>7 մլն հատով կամ 11.4 %-ով, իսկ իրացման շրջանառությունը՝ 227</w:t>
      </w:r>
      <w:r w:rsidRPr="00E37F5C">
        <w:rPr>
          <w:rFonts w:ascii="Cambria Math" w:hAnsi="Cambria Math" w:cs="Cambria Math"/>
          <w:szCs w:val="22"/>
          <w:lang w:val="hy-AM"/>
        </w:rPr>
        <w:t>․</w:t>
      </w:r>
      <w:r w:rsidRPr="00E37F5C">
        <w:rPr>
          <w:rFonts w:ascii="GHEA Grapalat" w:hAnsi="GHEA Grapalat" w:cs="Sylfaen"/>
          <w:szCs w:val="22"/>
          <w:lang w:val="hy-AM"/>
        </w:rPr>
        <w:t>2 մլրդ դրամով կամ 8.5%-ով:</w:t>
      </w:r>
      <w:r w:rsidR="00E37F5C" w:rsidRPr="002570E5">
        <w:rPr>
          <w:rFonts w:ascii="GHEA Grapalat" w:hAnsi="GHEA Grapalat" w:cs="Sylfaen"/>
          <w:szCs w:val="22"/>
          <w:lang w:val="hy-AM"/>
        </w:rPr>
        <w:t xml:space="preserve"> </w:t>
      </w:r>
    </w:p>
    <w:p w14:paraId="243AD997" w14:textId="451FBF90" w:rsidR="005F209E" w:rsidRPr="00E37F5C" w:rsidRDefault="005F209E" w:rsidP="00E37F5C">
      <w:pPr>
        <w:pStyle w:val="mechtex"/>
        <w:numPr>
          <w:ilvl w:val="0"/>
          <w:numId w:val="9"/>
        </w:numPr>
        <w:tabs>
          <w:tab w:val="left" w:pos="270"/>
          <w:tab w:val="left" w:pos="810"/>
          <w:tab w:val="left" w:pos="1134"/>
        </w:tabs>
        <w:spacing w:line="276" w:lineRule="auto"/>
        <w:ind w:left="0" w:firstLine="851"/>
        <w:contextualSpacing/>
        <w:jc w:val="both"/>
        <w:rPr>
          <w:rFonts w:ascii="GHEA Grapalat" w:hAnsi="GHEA Grapalat" w:cs="Sylfaen"/>
          <w:szCs w:val="22"/>
          <w:lang w:val="hy-AM"/>
        </w:rPr>
      </w:pPr>
      <w:r w:rsidRPr="00E37F5C">
        <w:rPr>
          <w:rFonts w:ascii="GHEA Grapalat" w:hAnsi="GHEA Grapalat" w:cs="Sylfaen"/>
          <w:szCs w:val="22"/>
          <w:lang w:val="hy-AM"/>
        </w:rPr>
        <w:t>2024</w:t>
      </w:r>
      <w:r w:rsidRPr="00E37F5C">
        <w:rPr>
          <w:rFonts w:ascii="GHEA Grapalat" w:hAnsi="GHEA Grapalat"/>
          <w:szCs w:val="22"/>
          <w:lang w:val="hy-AM"/>
        </w:rPr>
        <w:t>թ</w:t>
      </w:r>
      <w:r w:rsidRPr="00E37F5C">
        <w:rPr>
          <w:rFonts w:ascii="Cambria Math" w:hAnsi="Cambria Math" w:cs="Cambria Math"/>
          <w:szCs w:val="22"/>
          <w:lang w:val="hy-AM"/>
        </w:rPr>
        <w:t>․</w:t>
      </w:r>
      <w:r w:rsidRPr="00E37F5C">
        <w:rPr>
          <w:rFonts w:ascii="GHEA Grapalat" w:hAnsi="GHEA Grapalat"/>
          <w:szCs w:val="22"/>
          <w:lang w:val="hy-AM"/>
        </w:rPr>
        <w:t xml:space="preserve"> </w:t>
      </w:r>
      <w:r w:rsidRPr="00E37F5C">
        <w:rPr>
          <w:rFonts w:ascii="GHEA Grapalat" w:hAnsi="GHEA Grapalat" w:cs="Sylfaen"/>
          <w:szCs w:val="22"/>
          <w:lang w:val="hy-AM"/>
        </w:rPr>
        <w:t>դեկտեմբեր ամսին եկամուտ ստացող աշխատատեղերի թվաքանակը կազմել է 778</w:t>
      </w:r>
      <w:r w:rsidRPr="00E37F5C">
        <w:rPr>
          <w:rFonts w:ascii="Cambria Math" w:hAnsi="Cambria Math" w:cs="Cambria Math"/>
          <w:szCs w:val="22"/>
          <w:lang w:val="hy-AM"/>
        </w:rPr>
        <w:t>․</w:t>
      </w:r>
      <w:r w:rsidRPr="00E37F5C">
        <w:rPr>
          <w:rFonts w:ascii="GHEA Grapalat" w:hAnsi="GHEA Grapalat" w:cs="Sylfaen"/>
          <w:szCs w:val="22"/>
          <w:lang w:val="hy-AM"/>
        </w:rPr>
        <w:t>1 հազար</w:t>
      </w:r>
      <w:r w:rsidR="001A0FCF" w:rsidRPr="002570E5">
        <w:rPr>
          <w:rFonts w:ascii="GHEA Grapalat" w:hAnsi="GHEA Grapalat" w:cs="Sylfaen"/>
          <w:szCs w:val="22"/>
          <w:lang w:val="hy-AM"/>
        </w:rPr>
        <w:t>,</w:t>
      </w:r>
      <w:r w:rsidRPr="00E37F5C">
        <w:rPr>
          <w:rFonts w:ascii="GHEA Grapalat" w:hAnsi="GHEA Grapalat" w:cs="Sylfaen"/>
          <w:szCs w:val="22"/>
          <w:lang w:val="hy-AM"/>
        </w:rPr>
        <w:t xml:space="preserve"> ինչը գերազանցել է </w:t>
      </w:r>
      <w:r w:rsidR="001A0FCF" w:rsidRPr="00E37F5C">
        <w:rPr>
          <w:rFonts w:ascii="GHEA Grapalat" w:hAnsi="GHEA Grapalat" w:cs="Sylfaen"/>
          <w:szCs w:val="22"/>
          <w:lang w:val="hy-AM"/>
        </w:rPr>
        <w:t>նախորդ տարվա ցուցանիշը</w:t>
      </w:r>
      <w:r w:rsidRPr="00E37F5C">
        <w:rPr>
          <w:rFonts w:ascii="GHEA Grapalat" w:hAnsi="GHEA Grapalat" w:cs="Sylfaen"/>
          <w:szCs w:val="22"/>
          <w:lang w:val="hy-AM"/>
        </w:rPr>
        <w:t xml:space="preserve"> 36,368-ով կամ 4.9%-ով</w:t>
      </w:r>
      <w:r w:rsidRPr="00E37F5C">
        <w:rPr>
          <w:rFonts w:ascii="GHEA Grapalat" w:hAnsi="GHEA Grapalat" w:cs="Sylfaen"/>
          <w:szCs w:val="22"/>
          <w:lang w:val="af-ZA"/>
        </w:rPr>
        <w:t>:</w:t>
      </w:r>
      <w:r w:rsidR="00CE2D1A">
        <w:rPr>
          <w:rFonts w:ascii="GHEA Grapalat" w:hAnsi="GHEA Grapalat" w:cs="Sylfaen"/>
          <w:szCs w:val="22"/>
          <w:lang w:val="hy-AM"/>
        </w:rPr>
        <w:t xml:space="preserve"> </w:t>
      </w:r>
    </w:p>
    <w:p w14:paraId="00BA35A0" w14:textId="6282C43E" w:rsidR="005F209E" w:rsidRPr="00487C46" w:rsidRDefault="005F209E" w:rsidP="00E37F5C">
      <w:pPr>
        <w:pStyle w:val="mechtex"/>
        <w:numPr>
          <w:ilvl w:val="0"/>
          <w:numId w:val="9"/>
        </w:numPr>
        <w:tabs>
          <w:tab w:val="left" w:pos="270"/>
          <w:tab w:val="left" w:pos="810"/>
          <w:tab w:val="left" w:pos="1134"/>
        </w:tabs>
        <w:spacing w:line="276" w:lineRule="auto"/>
        <w:ind w:left="0" w:firstLine="851"/>
        <w:contextualSpacing/>
        <w:jc w:val="both"/>
        <w:rPr>
          <w:rFonts w:ascii="GHEA Grapalat" w:hAnsi="GHEA Grapalat" w:cs="Sylfaen"/>
          <w:szCs w:val="22"/>
          <w:lang w:val="af-ZA"/>
        </w:rPr>
      </w:pPr>
      <w:r w:rsidRPr="00487C46">
        <w:rPr>
          <w:rFonts w:ascii="GHEA Grapalat" w:hAnsi="GHEA Grapalat" w:cs="Sylfaen"/>
          <w:szCs w:val="22"/>
          <w:lang w:val="hy-AM"/>
        </w:rPr>
        <w:t>2024</w:t>
      </w:r>
      <w:r w:rsidRPr="00487C46">
        <w:rPr>
          <w:rFonts w:ascii="GHEA Grapalat" w:hAnsi="GHEA Grapalat"/>
          <w:szCs w:val="22"/>
          <w:lang w:val="hy-AM"/>
        </w:rPr>
        <w:t>թ</w:t>
      </w:r>
      <w:r w:rsidRPr="00487C46">
        <w:rPr>
          <w:rFonts w:ascii="Cambria Math" w:hAnsi="Cambria Math" w:cs="Cambria Math"/>
          <w:szCs w:val="22"/>
          <w:lang w:val="hy-AM"/>
        </w:rPr>
        <w:t>․</w:t>
      </w:r>
      <w:r w:rsidRPr="00487C46">
        <w:rPr>
          <w:rFonts w:ascii="GHEA Grapalat" w:hAnsi="GHEA Grapalat" w:cs="Sylfaen"/>
          <w:szCs w:val="22"/>
          <w:lang w:val="af-ZA"/>
        </w:rPr>
        <w:t xml:space="preserve"> </w:t>
      </w:r>
      <w:r w:rsidRPr="00487C46">
        <w:rPr>
          <w:rFonts w:ascii="GHEA Grapalat" w:hAnsi="GHEA Grapalat" w:cs="Sylfaen"/>
          <w:szCs w:val="22"/>
          <w:lang w:val="hy-AM"/>
        </w:rPr>
        <w:t>ընթացքում իրականացված վերլուծությունների արդյունքում հարկ վճարողներին ներկայացվել են 135,516 ծանուցումներ` առկա ռիսկերի և անհամապատասխանությունների վերաբերյալ: Ընդ որում</w:t>
      </w:r>
      <w:r w:rsidR="001A0FCF" w:rsidRPr="002570E5">
        <w:rPr>
          <w:rFonts w:ascii="GHEA Grapalat" w:hAnsi="GHEA Grapalat" w:cs="Sylfaen"/>
          <w:szCs w:val="22"/>
          <w:lang w:val="hy-AM"/>
        </w:rPr>
        <w:t>,</w:t>
      </w:r>
      <w:r w:rsidRPr="00487C46">
        <w:rPr>
          <w:rFonts w:ascii="GHEA Grapalat" w:hAnsi="GHEA Grapalat" w:cs="Sylfaen"/>
          <w:szCs w:val="22"/>
          <w:lang w:val="hy-AM"/>
        </w:rPr>
        <w:t xml:space="preserve"> նշված ցուցանիշում 68,352-ը կազմում է կամերալ արձանագրությունների </w:t>
      </w:r>
      <w:r w:rsidRPr="00487C46">
        <w:rPr>
          <w:rFonts w:ascii="GHEA Grapalat" w:hAnsi="GHEA Grapalat" w:cs="Sylfaen"/>
          <w:szCs w:val="22"/>
          <w:lang w:val="hy-AM"/>
        </w:rPr>
        <w:lastRenderedPageBreak/>
        <w:t>քանակը: Վերլուծական գործիքակազմի կիրառմամբ 2024</w:t>
      </w:r>
      <w:r w:rsidRPr="00487C46">
        <w:rPr>
          <w:rFonts w:ascii="GHEA Grapalat" w:hAnsi="GHEA Grapalat"/>
          <w:szCs w:val="22"/>
          <w:lang w:val="hy-AM"/>
        </w:rPr>
        <w:t>թ</w:t>
      </w:r>
      <w:r w:rsidRPr="00487C46">
        <w:rPr>
          <w:rFonts w:ascii="Cambria Math" w:hAnsi="Cambria Math" w:cs="Cambria Math"/>
          <w:szCs w:val="22"/>
          <w:lang w:val="hy-AM"/>
        </w:rPr>
        <w:t>․</w:t>
      </w:r>
      <w:r w:rsidRPr="00487C46">
        <w:rPr>
          <w:rFonts w:ascii="GHEA Grapalat" w:hAnsi="GHEA Grapalat" w:cs="Sylfaen"/>
          <w:szCs w:val="22"/>
          <w:lang w:val="hy-AM"/>
        </w:rPr>
        <w:t xml:space="preserve"> հարկ վճարողները հայտարարագրել են 67.3 մլրդ դրամ լրացուցիչ հարկի գումար:</w:t>
      </w:r>
    </w:p>
    <w:p w14:paraId="02A7DE58" w14:textId="4345265E" w:rsidR="005F209E" w:rsidRPr="00E37F5C" w:rsidRDefault="005F209E" w:rsidP="00E37F5C">
      <w:pPr>
        <w:pStyle w:val="mechtex"/>
        <w:numPr>
          <w:ilvl w:val="0"/>
          <w:numId w:val="9"/>
        </w:numPr>
        <w:tabs>
          <w:tab w:val="left" w:pos="270"/>
          <w:tab w:val="left" w:pos="810"/>
          <w:tab w:val="left" w:pos="1134"/>
        </w:tabs>
        <w:spacing w:line="276" w:lineRule="auto"/>
        <w:ind w:left="0" w:firstLine="851"/>
        <w:contextualSpacing/>
        <w:jc w:val="both"/>
        <w:rPr>
          <w:rFonts w:ascii="GHEA Grapalat" w:hAnsi="GHEA Grapalat" w:cs="Sylfaen"/>
          <w:szCs w:val="22"/>
          <w:lang w:val="af-ZA"/>
        </w:rPr>
      </w:pPr>
      <w:r w:rsidRPr="00487C46">
        <w:rPr>
          <w:rFonts w:ascii="GHEA Grapalat" w:hAnsi="GHEA Grapalat" w:cs="Sylfaen"/>
          <w:szCs w:val="22"/>
          <w:lang w:val="hy-AM"/>
        </w:rPr>
        <w:t>Եվրասիական տնտեսական միության անդամ պետություններից ՀՀ ներմուծում իրականացնող հարկ վճարողների հարկային կարգապահության բարելավման և հսկողական գործիքների կատարելագործման շրջանակներում 2024</w:t>
      </w:r>
      <w:r w:rsidRPr="00487C46">
        <w:rPr>
          <w:rFonts w:ascii="GHEA Grapalat" w:hAnsi="GHEA Grapalat"/>
          <w:szCs w:val="22"/>
          <w:lang w:val="hy-AM"/>
        </w:rPr>
        <w:t>թ</w:t>
      </w:r>
      <w:r w:rsidRPr="00487C46">
        <w:rPr>
          <w:rFonts w:ascii="Cambria Math" w:hAnsi="Cambria Math" w:cs="Cambria Math"/>
          <w:szCs w:val="22"/>
          <w:lang w:val="hy-AM"/>
        </w:rPr>
        <w:t>․</w:t>
      </w:r>
      <w:r w:rsidRPr="00487C46">
        <w:rPr>
          <w:rFonts w:ascii="GHEA Grapalat" w:hAnsi="GHEA Grapalat" w:cs="Sylfaen"/>
          <w:szCs w:val="22"/>
          <w:lang w:val="hy-AM"/>
        </w:rPr>
        <w:t xml:space="preserve"> ինվոյսային արժեքների ճշտման ուղղությամբ ձեռնարկվել է 3,755 միջոցառում, բոլոր դեպքերով ներկայացվել են ճշտված հայտարարագրեր: Արդյունքում նախկինում ներկայացված 8</w:t>
      </w:r>
      <w:r w:rsidR="001A0FCF" w:rsidRPr="002570E5">
        <w:rPr>
          <w:rFonts w:ascii="GHEA Grapalat" w:hAnsi="GHEA Grapalat" w:cs="Sylfaen"/>
          <w:szCs w:val="22"/>
          <w:lang w:val="af-ZA"/>
        </w:rPr>
        <w:t>.2</w:t>
      </w:r>
      <w:r w:rsidRPr="00487C46">
        <w:rPr>
          <w:rFonts w:ascii="GHEA Grapalat" w:hAnsi="GHEA Grapalat" w:cs="Sylfaen"/>
          <w:szCs w:val="22"/>
          <w:lang w:val="hy-AM"/>
        </w:rPr>
        <w:t xml:space="preserve"> մլ</w:t>
      </w:r>
      <w:r w:rsidR="001A0FCF">
        <w:rPr>
          <w:rFonts w:ascii="GHEA Grapalat" w:hAnsi="GHEA Grapalat" w:cs="Sylfaen"/>
          <w:szCs w:val="22"/>
        </w:rPr>
        <w:t>րդ</w:t>
      </w:r>
      <w:r w:rsidRPr="00487C46">
        <w:rPr>
          <w:rFonts w:ascii="GHEA Grapalat" w:hAnsi="GHEA Grapalat" w:cs="Sylfaen"/>
          <w:szCs w:val="22"/>
          <w:lang w:val="hy-AM"/>
        </w:rPr>
        <w:t xml:space="preserve"> դրամ ինվոյսային արժեքի փոխարեն արտացոլվել է 15</w:t>
      </w:r>
      <w:r w:rsidRPr="00487C46">
        <w:rPr>
          <w:rFonts w:ascii="Cambria Math" w:hAnsi="Cambria Math" w:cs="Cambria Math"/>
          <w:szCs w:val="22"/>
          <w:lang w:val="hy-AM"/>
        </w:rPr>
        <w:t>․</w:t>
      </w:r>
      <w:r w:rsidR="001A0FCF">
        <w:rPr>
          <w:rFonts w:ascii="GHEA Grapalat" w:hAnsi="GHEA Grapalat" w:cs="Sylfaen"/>
          <w:szCs w:val="22"/>
          <w:lang w:val="hy-AM"/>
        </w:rPr>
        <w:t>1</w:t>
      </w:r>
      <w:r w:rsidR="001A0FCF" w:rsidRPr="002570E5">
        <w:rPr>
          <w:rFonts w:ascii="Calibri" w:hAnsi="Calibri" w:cs="Calibri"/>
          <w:szCs w:val="22"/>
          <w:lang w:val="af-ZA"/>
        </w:rPr>
        <w:t> </w:t>
      </w:r>
      <w:r w:rsidRPr="00487C46">
        <w:rPr>
          <w:rFonts w:ascii="GHEA Grapalat" w:hAnsi="GHEA Grapalat" w:cs="Sylfaen"/>
          <w:szCs w:val="22"/>
          <w:lang w:val="hy-AM"/>
        </w:rPr>
        <w:t xml:space="preserve">մլրդ դրամ ինվոյսային արժեք, և ներկայացված ճշտված հայտարարագրերով հաշվարկվել է </w:t>
      </w:r>
      <w:r w:rsidR="001A0FCF" w:rsidRPr="00487C46">
        <w:rPr>
          <w:rFonts w:ascii="GHEA Grapalat" w:hAnsi="GHEA Grapalat" w:cs="Sylfaen"/>
          <w:szCs w:val="22"/>
          <w:lang w:val="hy-AM"/>
        </w:rPr>
        <w:t xml:space="preserve">բյուջե </w:t>
      </w:r>
      <w:r w:rsidRPr="00487C46">
        <w:rPr>
          <w:rFonts w:ascii="GHEA Grapalat" w:hAnsi="GHEA Grapalat" w:cs="Sylfaen"/>
          <w:szCs w:val="22"/>
          <w:lang w:val="hy-AM"/>
        </w:rPr>
        <w:t>լրացուցիչ վճարման ենթակա 1</w:t>
      </w:r>
      <w:r w:rsidRPr="00487C46">
        <w:rPr>
          <w:rFonts w:ascii="Cambria Math" w:hAnsi="Cambria Math" w:cs="Cambria Math"/>
          <w:szCs w:val="22"/>
          <w:lang w:val="hy-AM"/>
        </w:rPr>
        <w:t>․</w:t>
      </w:r>
      <w:r w:rsidRPr="00487C46">
        <w:rPr>
          <w:rFonts w:ascii="GHEA Grapalat" w:hAnsi="GHEA Grapalat" w:cs="Sylfaen"/>
          <w:szCs w:val="22"/>
          <w:lang w:val="hy-AM"/>
        </w:rPr>
        <w:t>4 մլրդ դրամ: 2024թ. վերականգնվել է 1</w:t>
      </w:r>
      <w:r w:rsidRPr="00487C46">
        <w:rPr>
          <w:rFonts w:ascii="Cambria Math" w:hAnsi="Cambria Math" w:cs="Cambria Math"/>
          <w:szCs w:val="22"/>
          <w:lang w:val="hy-AM"/>
        </w:rPr>
        <w:t>․</w:t>
      </w:r>
      <w:r w:rsidRPr="00487C46">
        <w:rPr>
          <w:rFonts w:ascii="GHEA Grapalat" w:hAnsi="GHEA Grapalat" w:cs="Sylfaen"/>
          <w:szCs w:val="22"/>
          <w:lang w:val="hy-AM"/>
        </w:rPr>
        <w:t>3 մլրդ դրամ:</w:t>
      </w:r>
    </w:p>
    <w:sectPr w:rsidR="005F209E" w:rsidRPr="00E37F5C" w:rsidSect="00533D9B">
      <w:footerReference w:type="default" r:id="rId22"/>
      <w:pgSz w:w="11906" w:h="16838" w:code="9"/>
      <w:pgMar w:top="1138" w:right="562" w:bottom="562" w:left="1138" w:header="720" w:footer="720" w:gutter="0"/>
      <w:pgNumType w:start="36"/>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C8380" w14:textId="77777777" w:rsidR="00865ECC" w:rsidRDefault="00865ECC" w:rsidP="00752EC7">
      <w:pPr>
        <w:spacing w:after="0" w:line="240" w:lineRule="auto"/>
      </w:pPr>
      <w:r>
        <w:separator/>
      </w:r>
    </w:p>
  </w:endnote>
  <w:endnote w:type="continuationSeparator" w:id="0">
    <w:p w14:paraId="38C594F7" w14:textId="77777777" w:rsidR="00865ECC" w:rsidRDefault="00865ECC" w:rsidP="00752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3540036"/>
      <w:docPartObj>
        <w:docPartGallery w:val="Page Numbers (Bottom of Page)"/>
        <w:docPartUnique/>
      </w:docPartObj>
    </w:sdtPr>
    <w:sdtEndPr>
      <w:rPr>
        <w:rFonts w:ascii="GHEA Grapalat" w:hAnsi="GHEA Grapalat"/>
        <w:noProof/>
      </w:rPr>
    </w:sdtEndPr>
    <w:sdtContent>
      <w:p w14:paraId="5DF7BD5B" w14:textId="53696114" w:rsidR="001846D0" w:rsidRPr="001846D0" w:rsidRDefault="001846D0">
        <w:pPr>
          <w:pStyle w:val="Footer"/>
          <w:jc w:val="right"/>
          <w:rPr>
            <w:rFonts w:ascii="GHEA Grapalat" w:hAnsi="GHEA Grapalat"/>
          </w:rPr>
        </w:pPr>
        <w:r w:rsidRPr="001846D0">
          <w:rPr>
            <w:rFonts w:ascii="GHEA Grapalat" w:hAnsi="GHEA Grapalat"/>
          </w:rPr>
          <w:fldChar w:fldCharType="begin"/>
        </w:r>
        <w:r w:rsidRPr="001846D0">
          <w:rPr>
            <w:rFonts w:ascii="GHEA Grapalat" w:hAnsi="GHEA Grapalat"/>
          </w:rPr>
          <w:instrText xml:space="preserve"> PAGE   \* MERGEFORMAT </w:instrText>
        </w:r>
        <w:r w:rsidRPr="001846D0">
          <w:rPr>
            <w:rFonts w:ascii="GHEA Grapalat" w:hAnsi="GHEA Grapalat"/>
          </w:rPr>
          <w:fldChar w:fldCharType="separate"/>
        </w:r>
        <w:r w:rsidR="001F601A">
          <w:rPr>
            <w:rFonts w:ascii="GHEA Grapalat" w:hAnsi="GHEA Grapalat"/>
            <w:noProof/>
          </w:rPr>
          <w:t>36</w:t>
        </w:r>
        <w:r w:rsidRPr="001846D0">
          <w:rPr>
            <w:rFonts w:ascii="GHEA Grapalat" w:hAnsi="GHEA Grapalat"/>
            <w:noProof/>
          </w:rPr>
          <w:fldChar w:fldCharType="end"/>
        </w:r>
      </w:p>
    </w:sdtContent>
  </w:sdt>
  <w:p w14:paraId="7E451910" w14:textId="77777777" w:rsidR="001846D0" w:rsidRDefault="001846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5AFE5" w14:textId="77777777" w:rsidR="00865ECC" w:rsidRDefault="00865ECC" w:rsidP="00752EC7">
      <w:pPr>
        <w:spacing w:after="0" w:line="240" w:lineRule="auto"/>
      </w:pPr>
      <w:r>
        <w:separator/>
      </w:r>
    </w:p>
  </w:footnote>
  <w:footnote w:type="continuationSeparator" w:id="0">
    <w:p w14:paraId="0571F402" w14:textId="77777777" w:rsidR="00865ECC" w:rsidRDefault="00865ECC" w:rsidP="00752EC7">
      <w:pPr>
        <w:spacing w:after="0" w:line="240" w:lineRule="auto"/>
      </w:pPr>
      <w:r>
        <w:continuationSeparator/>
      </w:r>
    </w:p>
  </w:footnote>
  <w:footnote w:id="1">
    <w:p w14:paraId="1CCDB945" w14:textId="4E2CF35C" w:rsidR="00341932" w:rsidRPr="00465D49" w:rsidRDefault="00341932" w:rsidP="00AE4E2D">
      <w:pPr>
        <w:pStyle w:val="FootnoteText"/>
        <w:jc w:val="both"/>
        <w:rPr>
          <w:rFonts w:ascii="GHEA Grapalat" w:hAnsi="GHEA Grapalat"/>
          <w:sz w:val="18"/>
          <w:szCs w:val="18"/>
          <w:lang w:val="en-US"/>
        </w:rPr>
      </w:pPr>
      <w:r w:rsidRPr="00465D49">
        <w:rPr>
          <w:rStyle w:val="FootnoteReference"/>
          <w:rFonts w:ascii="GHEA Grapalat" w:hAnsi="GHEA Grapalat"/>
          <w:sz w:val="18"/>
          <w:szCs w:val="18"/>
        </w:rPr>
        <w:footnoteRef/>
      </w:r>
      <w:r w:rsidRPr="00465D49">
        <w:rPr>
          <w:rFonts w:ascii="GHEA Grapalat" w:hAnsi="GHEA Grapalat"/>
          <w:sz w:val="18"/>
          <w:szCs w:val="18"/>
        </w:rPr>
        <w:t xml:space="preserve"> </w:t>
      </w:r>
      <w:r w:rsidRPr="00465D49">
        <w:rPr>
          <w:rFonts w:ascii="GHEA Grapalat" w:eastAsia="Calibri" w:hAnsi="GHEA Grapalat" w:cs="Sylfaen"/>
          <w:sz w:val="18"/>
          <w:szCs w:val="18"/>
        </w:rPr>
        <w:t>2020-2023</w:t>
      </w:r>
      <w:r w:rsidR="00007792" w:rsidRPr="00465D49">
        <w:rPr>
          <w:rFonts w:ascii="GHEA Grapalat" w:eastAsia="Calibri" w:hAnsi="GHEA Grapalat" w:cs="Sylfaen"/>
          <w:sz w:val="18"/>
          <w:szCs w:val="18"/>
        </w:rPr>
        <w:t>թթ.</w:t>
      </w:r>
      <w:r w:rsidRPr="00465D49">
        <w:rPr>
          <w:rFonts w:ascii="GHEA Grapalat" w:eastAsia="Calibri" w:hAnsi="GHEA Grapalat" w:cs="Sylfaen"/>
          <w:sz w:val="18"/>
          <w:szCs w:val="18"/>
        </w:rPr>
        <w:t xml:space="preserve"> եկամուտների և ծախսերի ցուցանիշներում ներառվել </w:t>
      </w:r>
      <w:r w:rsidR="00465D49">
        <w:rPr>
          <w:rFonts w:ascii="GHEA Grapalat" w:eastAsia="Calibri" w:hAnsi="GHEA Grapalat" w:cs="Sylfaen"/>
          <w:sz w:val="18"/>
          <w:szCs w:val="18"/>
          <w:lang w:val="en-US"/>
        </w:rPr>
        <w:t>է</w:t>
      </w:r>
      <w:r w:rsidRPr="00465D49">
        <w:rPr>
          <w:rFonts w:ascii="GHEA Grapalat" w:eastAsia="Calibri" w:hAnsi="GHEA Grapalat" w:cs="Sylfaen"/>
          <w:sz w:val="18"/>
          <w:szCs w:val="18"/>
        </w:rPr>
        <w:t xml:space="preserve"> հիպոտեկային վարկերի տոկոսագումարների դիմաց եկամտային հարկի վերադարձը</w:t>
      </w:r>
      <w:r w:rsidR="00465D49">
        <w:rPr>
          <w:rFonts w:ascii="GHEA Grapalat" w:eastAsia="Calibri" w:hAnsi="GHEA Grapalat" w:cs="Sylfaen"/>
          <w:sz w:val="18"/>
          <w:szCs w:val="18"/>
          <w:lang w:val="en-US"/>
        </w:rPr>
        <w:t>:</w:t>
      </w:r>
    </w:p>
  </w:footnote>
  <w:footnote w:id="2">
    <w:p w14:paraId="1B4945D7" w14:textId="6B88C422" w:rsidR="00341932" w:rsidRPr="00CF77B8" w:rsidRDefault="00341932" w:rsidP="00CF77B8">
      <w:pPr>
        <w:pStyle w:val="FootnoteText"/>
        <w:jc w:val="both"/>
        <w:rPr>
          <w:rFonts w:ascii="GHEA Grapalat" w:hAnsi="GHEA Grapalat"/>
          <w:sz w:val="18"/>
          <w:szCs w:val="18"/>
          <w:lang w:val="en-US"/>
        </w:rPr>
      </w:pPr>
      <w:r w:rsidRPr="00CF77B8">
        <w:rPr>
          <w:rStyle w:val="FootnoteReference"/>
          <w:rFonts w:ascii="GHEA Grapalat" w:hAnsi="GHEA Grapalat"/>
          <w:sz w:val="18"/>
          <w:szCs w:val="18"/>
        </w:rPr>
        <w:footnoteRef/>
      </w:r>
      <w:r w:rsidRPr="00CF77B8">
        <w:rPr>
          <w:rFonts w:ascii="GHEA Grapalat" w:hAnsi="GHEA Grapalat"/>
          <w:sz w:val="18"/>
          <w:szCs w:val="18"/>
        </w:rPr>
        <w:t xml:space="preserve"> Առավել մանրամասն տե՛ս «</w:t>
      </w:r>
      <w:r w:rsidR="0005009A">
        <w:rPr>
          <w:rFonts w:ascii="GHEA Grapalat" w:hAnsi="GHEA Grapalat"/>
          <w:sz w:val="18"/>
          <w:szCs w:val="18"/>
          <w:lang w:val="en-US"/>
        </w:rPr>
        <w:t xml:space="preserve">1.4. ՀՀ </w:t>
      </w:r>
      <w:r w:rsidRPr="00CF77B8">
        <w:rPr>
          <w:rFonts w:ascii="GHEA Grapalat" w:hAnsi="GHEA Grapalat"/>
          <w:sz w:val="18"/>
          <w:szCs w:val="18"/>
        </w:rPr>
        <w:t>2024թ</w:t>
      </w:r>
      <w:r w:rsidRPr="00CF77B8">
        <w:rPr>
          <w:rFonts w:ascii="Cambria Math" w:hAnsi="Cambria Math" w:cs="Cambria Math"/>
          <w:sz w:val="18"/>
          <w:szCs w:val="18"/>
        </w:rPr>
        <w:t>․</w:t>
      </w:r>
      <w:r w:rsidRPr="00CF77B8">
        <w:rPr>
          <w:rFonts w:ascii="GHEA Grapalat" w:hAnsi="GHEA Grapalat"/>
          <w:sz w:val="18"/>
          <w:szCs w:val="18"/>
        </w:rPr>
        <w:t xml:space="preserve"> պետական բյուջեի եկամուտները» բաժնում։ </w:t>
      </w:r>
    </w:p>
  </w:footnote>
  <w:footnote w:id="3">
    <w:p w14:paraId="6508FE4D" w14:textId="40DF4C0B" w:rsidR="00341932" w:rsidRPr="00AD2CF4" w:rsidRDefault="00341932" w:rsidP="00752EC7">
      <w:pPr>
        <w:pStyle w:val="FootnoteText"/>
        <w:jc w:val="both"/>
        <w:rPr>
          <w:rFonts w:ascii="GHEA Grapalat" w:hAnsi="GHEA Grapalat" w:cs="GHEA Grapalat"/>
          <w:iCs/>
          <w:color w:val="000000"/>
          <w:sz w:val="18"/>
          <w:szCs w:val="18"/>
          <w:lang w:val="en-US"/>
        </w:rPr>
      </w:pPr>
      <w:r w:rsidRPr="006E100B">
        <w:rPr>
          <w:rStyle w:val="FootnoteReference"/>
          <w:rFonts w:ascii="GHEA Grapalat" w:hAnsi="GHEA Grapalat"/>
          <w:sz w:val="18"/>
          <w:szCs w:val="18"/>
        </w:rPr>
        <w:footnoteRef/>
      </w:r>
      <w:r w:rsidRPr="006E100B">
        <w:rPr>
          <w:rFonts w:ascii="GHEA Grapalat" w:hAnsi="GHEA Grapalat"/>
          <w:iCs/>
          <w:sz w:val="18"/>
          <w:szCs w:val="18"/>
        </w:rPr>
        <w:t xml:space="preserve"> </w:t>
      </w:r>
      <w:r w:rsidRPr="006E100B">
        <w:rPr>
          <w:rFonts w:ascii="GHEA Grapalat" w:hAnsi="GHEA Grapalat" w:cs="GHEA Grapalat"/>
          <w:iCs/>
          <w:color w:val="000000"/>
          <w:sz w:val="18"/>
          <w:szCs w:val="18"/>
        </w:rPr>
        <w:t>Աղբյուրը՝ ՀՀ ՖՆ գնահատական</w:t>
      </w:r>
      <w:r w:rsidR="00AD2CF4">
        <w:rPr>
          <w:rFonts w:ascii="GHEA Grapalat" w:hAnsi="GHEA Grapalat" w:cs="GHEA Grapalat"/>
          <w:iCs/>
          <w:color w:val="000000"/>
          <w:sz w:val="18"/>
          <w:szCs w:val="18"/>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E3664"/>
    <w:multiLevelType w:val="multilevel"/>
    <w:tmpl w:val="912EFAC2"/>
    <w:lvl w:ilvl="0">
      <w:start w:val="1"/>
      <w:numFmt w:val="decimal"/>
      <w:lvlText w:val="%1."/>
      <w:lvlJc w:val="left"/>
      <w:pPr>
        <w:ind w:left="585" w:hanging="58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A534B29"/>
    <w:multiLevelType w:val="hybridMultilevel"/>
    <w:tmpl w:val="C9DC8136"/>
    <w:lvl w:ilvl="0" w:tplc="F30EEF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3E57248"/>
    <w:multiLevelType w:val="hybridMultilevel"/>
    <w:tmpl w:val="79E4AD74"/>
    <w:lvl w:ilvl="0" w:tplc="E674AE74">
      <w:start w:val="1"/>
      <w:numFmt w:val="decimal"/>
      <w:lvlText w:val="%1."/>
      <w:lvlJc w:val="left"/>
      <w:pPr>
        <w:ind w:left="1296" w:hanging="360"/>
      </w:pPr>
      <w:rPr>
        <w:color w:val="auto"/>
      </w:rPr>
    </w:lvl>
    <w:lvl w:ilvl="1" w:tplc="04090019">
      <w:start w:val="1"/>
      <w:numFmt w:val="lowerLetter"/>
      <w:lvlText w:val="%2."/>
      <w:lvlJc w:val="left"/>
      <w:pPr>
        <w:ind w:left="2016" w:hanging="360"/>
      </w:pPr>
    </w:lvl>
    <w:lvl w:ilvl="2" w:tplc="0409001B">
      <w:start w:val="1"/>
      <w:numFmt w:val="lowerRoman"/>
      <w:lvlText w:val="%3."/>
      <w:lvlJc w:val="right"/>
      <w:pPr>
        <w:ind w:left="2736" w:hanging="180"/>
      </w:pPr>
    </w:lvl>
    <w:lvl w:ilvl="3" w:tplc="0409000F">
      <w:start w:val="1"/>
      <w:numFmt w:val="decimal"/>
      <w:lvlText w:val="%4."/>
      <w:lvlJc w:val="left"/>
      <w:pPr>
        <w:ind w:left="3456" w:hanging="360"/>
      </w:pPr>
    </w:lvl>
    <w:lvl w:ilvl="4" w:tplc="04090019">
      <w:start w:val="1"/>
      <w:numFmt w:val="lowerLetter"/>
      <w:lvlText w:val="%5."/>
      <w:lvlJc w:val="left"/>
      <w:pPr>
        <w:ind w:left="4176" w:hanging="360"/>
      </w:pPr>
    </w:lvl>
    <w:lvl w:ilvl="5" w:tplc="0409001B">
      <w:start w:val="1"/>
      <w:numFmt w:val="lowerRoman"/>
      <w:lvlText w:val="%6."/>
      <w:lvlJc w:val="right"/>
      <w:pPr>
        <w:ind w:left="4896" w:hanging="180"/>
      </w:pPr>
    </w:lvl>
    <w:lvl w:ilvl="6" w:tplc="0409000F">
      <w:start w:val="1"/>
      <w:numFmt w:val="decimal"/>
      <w:lvlText w:val="%7."/>
      <w:lvlJc w:val="left"/>
      <w:pPr>
        <w:ind w:left="5616" w:hanging="360"/>
      </w:pPr>
    </w:lvl>
    <w:lvl w:ilvl="7" w:tplc="04090019">
      <w:start w:val="1"/>
      <w:numFmt w:val="lowerLetter"/>
      <w:lvlText w:val="%8."/>
      <w:lvlJc w:val="left"/>
      <w:pPr>
        <w:ind w:left="6336" w:hanging="360"/>
      </w:pPr>
    </w:lvl>
    <w:lvl w:ilvl="8" w:tplc="0409001B">
      <w:start w:val="1"/>
      <w:numFmt w:val="lowerRoman"/>
      <w:lvlText w:val="%9."/>
      <w:lvlJc w:val="right"/>
      <w:pPr>
        <w:ind w:left="7056" w:hanging="180"/>
      </w:pPr>
    </w:lvl>
  </w:abstractNum>
  <w:abstractNum w:abstractNumId="3" w15:restartNumberingAfterBreak="0">
    <w:nsid w:val="1A7C352E"/>
    <w:multiLevelType w:val="hybridMultilevel"/>
    <w:tmpl w:val="DEA4D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C912AB"/>
    <w:multiLevelType w:val="hybridMultilevel"/>
    <w:tmpl w:val="D5827A8A"/>
    <w:lvl w:ilvl="0" w:tplc="F6F49170">
      <w:start w:val="1"/>
      <w:numFmt w:val="decimal"/>
      <w:lvlText w:val="Գծապատկեր %1."/>
      <w:lvlJc w:val="left"/>
      <w:pPr>
        <w:ind w:left="1440" w:hanging="360"/>
      </w:pPr>
      <w:rPr>
        <w:rFonts w:ascii="GHEA Grapalat" w:hAnsi="GHEA Grapalat" w:hint="default"/>
        <w:color w:val="auto"/>
        <w:sz w:val="24"/>
        <w:szCs w:val="24"/>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72B5DD8"/>
    <w:multiLevelType w:val="hybridMultilevel"/>
    <w:tmpl w:val="DD8AA6E8"/>
    <w:lvl w:ilvl="0" w:tplc="8A288C70">
      <w:start w:val="1"/>
      <w:numFmt w:val="decimal"/>
      <w:lvlText w:val="%1)"/>
      <w:lvlJc w:val="left"/>
      <w:pPr>
        <w:ind w:left="810" w:hanging="360"/>
      </w:pPr>
      <w:rPr>
        <w:rFonts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2BBB62DF"/>
    <w:multiLevelType w:val="multilevel"/>
    <w:tmpl w:val="B99E78D2"/>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00C6E8A"/>
    <w:multiLevelType w:val="hybridMultilevel"/>
    <w:tmpl w:val="FEF227B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3B833E0"/>
    <w:multiLevelType w:val="hybridMultilevel"/>
    <w:tmpl w:val="8B0CF4C0"/>
    <w:lvl w:ilvl="0" w:tplc="DCAEBE8C">
      <w:start w:val="1"/>
      <w:numFmt w:val="decimal"/>
      <w:lvlText w:val="Աղյուսակ %1."/>
      <w:lvlJc w:val="left"/>
      <w:pPr>
        <w:ind w:left="720" w:hanging="360"/>
      </w:pPr>
      <w:rPr>
        <w:rFonts w:hint="default"/>
        <w:color w:val="auto"/>
        <w:lang w:val="hy-AM"/>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057B0F"/>
    <w:multiLevelType w:val="hybridMultilevel"/>
    <w:tmpl w:val="76C62FD4"/>
    <w:lvl w:ilvl="0" w:tplc="E140E54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667640"/>
    <w:multiLevelType w:val="hybridMultilevel"/>
    <w:tmpl w:val="1C90482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50911300"/>
    <w:multiLevelType w:val="hybridMultilevel"/>
    <w:tmpl w:val="5FD4B95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15C4005"/>
    <w:multiLevelType w:val="hybridMultilevel"/>
    <w:tmpl w:val="4F4EEA50"/>
    <w:lvl w:ilvl="0" w:tplc="072A4506">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64055AB1"/>
    <w:multiLevelType w:val="multilevel"/>
    <w:tmpl w:val="208A9216"/>
    <w:lvl w:ilvl="0">
      <w:start w:val="1"/>
      <w:numFmt w:val="decimal"/>
      <w:lvlText w:val="%1."/>
      <w:lvlJc w:val="left"/>
      <w:pPr>
        <w:ind w:left="585" w:hanging="58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6C11162C"/>
    <w:multiLevelType w:val="hybridMultilevel"/>
    <w:tmpl w:val="7092FF30"/>
    <w:lvl w:ilvl="0" w:tplc="04090011">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5" w15:restartNumberingAfterBreak="0">
    <w:nsid w:val="6DF05800"/>
    <w:multiLevelType w:val="hybridMultilevel"/>
    <w:tmpl w:val="D4148F4C"/>
    <w:lvl w:ilvl="0" w:tplc="750A5F5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
  </w:num>
  <w:num w:numId="6">
    <w:abstractNumId w:val="6"/>
  </w:num>
  <w:num w:numId="7">
    <w:abstractNumId w:val="12"/>
  </w:num>
  <w:num w:numId="8">
    <w:abstractNumId w:val="1"/>
  </w:num>
  <w:num w:numId="9">
    <w:abstractNumId w:val="5"/>
  </w:num>
  <w:num w:numId="10">
    <w:abstractNumId w:val="9"/>
  </w:num>
  <w:num w:numId="11">
    <w:abstractNumId w:val="8"/>
  </w:num>
  <w:num w:numId="12">
    <w:abstractNumId w:val="4"/>
  </w:num>
  <w:num w:numId="13">
    <w:abstractNumId w:val="7"/>
  </w:num>
  <w:num w:numId="14">
    <w:abstractNumId w:val="15"/>
  </w:num>
  <w:num w:numId="15">
    <w:abstractNumId w:val="0"/>
  </w:num>
  <w:num w:numId="16">
    <w:abstractNumId w:val="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EC7"/>
    <w:rsid w:val="00007792"/>
    <w:rsid w:val="0005009A"/>
    <w:rsid w:val="00071582"/>
    <w:rsid w:val="00074B2B"/>
    <w:rsid w:val="00077458"/>
    <w:rsid w:val="00084E90"/>
    <w:rsid w:val="000A45B8"/>
    <w:rsid w:val="001302DF"/>
    <w:rsid w:val="00134BCA"/>
    <w:rsid w:val="001478E7"/>
    <w:rsid w:val="00150A0C"/>
    <w:rsid w:val="00151F04"/>
    <w:rsid w:val="0015240B"/>
    <w:rsid w:val="001623D7"/>
    <w:rsid w:val="00163DAB"/>
    <w:rsid w:val="001846D0"/>
    <w:rsid w:val="00196897"/>
    <w:rsid w:val="00196C66"/>
    <w:rsid w:val="001A0FCF"/>
    <w:rsid w:val="001B4ED8"/>
    <w:rsid w:val="001D420C"/>
    <w:rsid w:val="001F601A"/>
    <w:rsid w:val="001F72A7"/>
    <w:rsid w:val="00231898"/>
    <w:rsid w:val="002460E4"/>
    <w:rsid w:val="00247DC5"/>
    <w:rsid w:val="002570E5"/>
    <w:rsid w:val="0028301D"/>
    <w:rsid w:val="002D17F2"/>
    <w:rsid w:val="00332CD4"/>
    <w:rsid w:val="003343AE"/>
    <w:rsid w:val="00341932"/>
    <w:rsid w:val="003451CF"/>
    <w:rsid w:val="00360A1D"/>
    <w:rsid w:val="003B456B"/>
    <w:rsid w:val="003D265B"/>
    <w:rsid w:val="003F2ED0"/>
    <w:rsid w:val="003F48CD"/>
    <w:rsid w:val="00453F80"/>
    <w:rsid w:val="004540FF"/>
    <w:rsid w:val="00465D49"/>
    <w:rsid w:val="00487C46"/>
    <w:rsid w:val="004C2B4E"/>
    <w:rsid w:val="004C4409"/>
    <w:rsid w:val="004D1B0E"/>
    <w:rsid w:val="004D49D0"/>
    <w:rsid w:val="00500487"/>
    <w:rsid w:val="005149B7"/>
    <w:rsid w:val="00521BCD"/>
    <w:rsid w:val="00530553"/>
    <w:rsid w:val="00533D9B"/>
    <w:rsid w:val="00542DA4"/>
    <w:rsid w:val="005870C8"/>
    <w:rsid w:val="0059326E"/>
    <w:rsid w:val="005A67A1"/>
    <w:rsid w:val="005B55D6"/>
    <w:rsid w:val="005B5A45"/>
    <w:rsid w:val="005C1CB0"/>
    <w:rsid w:val="005E753D"/>
    <w:rsid w:val="005F209E"/>
    <w:rsid w:val="0061427A"/>
    <w:rsid w:val="006351F2"/>
    <w:rsid w:val="00652283"/>
    <w:rsid w:val="006756C8"/>
    <w:rsid w:val="006D060B"/>
    <w:rsid w:val="006D46D3"/>
    <w:rsid w:val="006E0FBE"/>
    <w:rsid w:val="006E17B2"/>
    <w:rsid w:val="0071116D"/>
    <w:rsid w:val="00717A7B"/>
    <w:rsid w:val="00751B84"/>
    <w:rsid w:val="00752D7F"/>
    <w:rsid w:val="00752EC7"/>
    <w:rsid w:val="00760D1E"/>
    <w:rsid w:val="00770469"/>
    <w:rsid w:val="007B04CB"/>
    <w:rsid w:val="007B6A23"/>
    <w:rsid w:val="007C077D"/>
    <w:rsid w:val="00865ECC"/>
    <w:rsid w:val="008943B2"/>
    <w:rsid w:val="008975A2"/>
    <w:rsid w:val="008A5155"/>
    <w:rsid w:val="008D5298"/>
    <w:rsid w:val="00952EE7"/>
    <w:rsid w:val="0095310A"/>
    <w:rsid w:val="00961875"/>
    <w:rsid w:val="00990E1F"/>
    <w:rsid w:val="009921AD"/>
    <w:rsid w:val="0099461C"/>
    <w:rsid w:val="009E1491"/>
    <w:rsid w:val="009E5FFA"/>
    <w:rsid w:val="00A043DE"/>
    <w:rsid w:val="00A2317D"/>
    <w:rsid w:val="00A433BE"/>
    <w:rsid w:val="00A523F7"/>
    <w:rsid w:val="00A5680E"/>
    <w:rsid w:val="00A56ED9"/>
    <w:rsid w:val="00A74260"/>
    <w:rsid w:val="00A77C0F"/>
    <w:rsid w:val="00AA17CC"/>
    <w:rsid w:val="00AD2CF4"/>
    <w:rsid w:val="00AE4E05"/>
    <w:rsid w:val="00AE4E2D"/>
    <w:rsid w:val="00B02E2A"/>
    <w:rsid w:val="00B17D71"/>
    <w:rsid w:val="00B24840"/>
    <w:rsid w:val="00B66B8D"/>
    <w:rsid w:val="00B87BF8"/>
    <w:rsid w:val="00B90831"/>
    <w:rsid w:val="00B95BB1"/>
    <w:rsid w:val="00BA5DAB"/>
    <w:rsid w:val="00BB4648"/>
    <w:rsid w:val="00C206EC"/>
    <w:rsid w:val="00C247F5"/>
    <w:rsid w:val="00C5724D"/>
    <w:rsid w:val="00C65B9E"/>
    <w:rsid w:val="00C719C8"/>
    <w:rsid w:val="00C80287"/>
    <w:rsid w:val="00C90FCE"/>
    <w:rsid w:val="00CC05D0"/>
    <w:rsid w:val="00CE2D1A"/>
    <w:rsid w:val="00CF159E"/>
    <w:rsid w:val="00CF77B8"/>
    <w:rsid w:val="00D05D70"/>
    <w:rsid w:val="00D23034"/>
    <w:rsid w:val="00D34065"/>
    <w:rsid w:val="00D84549"/>
    <w:rsid w:val="00D93535"/>
    <w:rsid w:val="00D96133"/>
    <w:rsid w:val="00DA4FD3"/>
    <w:rsid w:val="00DA6CE9"/>
    <w:rsid w:val="00DC07F8"/>
    <w:rsid w:val="00DC48E0"/>
    <w:rsid w:val="00DD21CA"/>
    <w:rsid w:val="00E046E4"/>
    <w:rsid w:val="00E17081"/>
    <w:rsid w:val="00E37F5C"/>
    <w:rsid w:val="00E416C9"/>
    <w:rsid w:val="00E51FDB"/>
    <w:rsid w:val="00E76156"/>
    <w:rsid w:val="00E806F6"/>
    <w:rsid w:val="00EC4EAA"/>
    <w:rsid w:val="00ED4A4D"/>
    <w:rsid w:val="00EF46C4"/>
    <w:rsid w:val="00EF7355"/>
    <w:rsid w:val="00F042E8"/>
    <w:rsid w:val="00F163BC"/>
    <w:rsid w:val="00F80230"/>
    <w:rsid w:val="00F94187"/>
    <w:rsid w:val="00FB26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C532F"/>
  <w15:chartTrackingRefBased/>
  <w15:docId w15:val="{DD9A9538-81BC-491C-80F1-ACFE87E87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uiPriority w:val="9"/>
    <w:qFormat/>
    <w:rsid w:val="00752EC7"/>
    <w:pPr>
      <w:keepNext/>
      <w:spacing w:after="0" w:line="240" w:lineRule="auto"/>
      <w:outlineLvl w:val="0"/>
    </w:pPr>
    <w:rPr>
      <w:rFonts w:ascii="Times Armenian" w:eastAsia="Times New Roman" w:hAnsi="Times Armenian" w:cs="Times New Roman"/>
      <w:b/>
      <w:i/>
      <w:noProof/>
      <w:sz w:val="28"/>
      <w:szCs w:val="20"/>
      <w:lang w:val="hy-AM"/>
    </w:rPr>
  </w:style>
  <w:style w:type="paragraph" w:styleId="Heading2">
    <w:name w:val="heading 2"/>
    <w:basedOn w:val="Normal"/>
    <w:next w:val="Normal"/>
    <w:link w:val="Heading2Char"/>
    <w:qFormat/>
    <w:rsid w:val="00134BCA"/>
    <w:pPr>
      <w:keepNext/>
      <w:spacing w:after="240" w:line="276" w:lineRule="auto"/>
      <w:ind w:left="720" w:hanging="720"/>
      <w:jc w:val="both"/>
      <w:outlineLvl w:val="1"/>
    </w:pPr>
    <w:rPr>
      <w:rFonts w:ascii="GHEA Grapalat" w:eastAsia="Times New Roman" w:hAnsi="GHEA Grapalat" w:cs="Times New Roman"/>
      <w:b/>
      <w:noProof/>
      <w:sz w:val="24"/>
      <w:szCs w:val="24"/>
      <w:lang w:val="de-AT"/>
    </w:rPr>
  </w:style>
  <w:style w:type="paragraph" w:styleId="Heading3">
    <w:name w:val="heading 3"/>
    <w:basedOn w:val="Normal"/>
    <w:next w:val="Normal"/>
    <w:link w:val="Heading3Char"/>
    <w:uiPriority w:val="9"/>
    <w:unhideWhenUsed/>
    <w:qFormat/>
    <w:rsid w:val="00C247F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1"/>
    <w:uiPriority w:val="99"/>
    <w:qFormat/>
    <w:rsid w:val="00752EC7"/>
    <w:pPr>
      <w:spacing w:after="0" w:line="240" w:lineRule="auto"/>
    </w:pPr>
    <w:rPr>
      <w:rFonts w:ascii="Times New Roman" w:eastAsia="Times New Roman" w:hAnsi="Times New Roman" w:cs="Times New Roman"/>
      <w:noProof/>
      <w:sz w:val="20"/>
      <w:szCs w:val="20"/>
      <w:lang w:val="hy-AM"/>
    </w:rPr>
  </w:style>
  <w:style w:type="character" w:customStyle="1" w:styleId="FootnoteTextChar">
    <w:name w:val="Footnote Text Char"/>
    <w:basedOn w:val="DefaultParagraphFont"/>
    <w:uiPriority w:val="99"/>
    <w:semiHidden/>
    <w:rsid w:val="00752EC7"/>
    <w:rPr>
      <w:sz w:val="20"/>
      <w:szCs w:val="20"/>
    </w:rPr>
  </w:style>
  <w:style w:type="character" w:customStyle="1" w:styleId="FootnoteTextChar1">
    <w:name w:val="Footnote Text Char1"/>
    <w:aliases w:val="fn Char1,ADB Char1,single space Char,footnote text Char Char,fn Char Char,ADB Char Char,single space Char Char Char,FOOTNOTES Char Char,FOOTNOTES Char Char Char Char,FOOTNOTES Char1,Footnote Text Char2 Char Char,f Char"/>
    <w:link w:val="FootnoteText"/>
    <w:uiPriority w:val="99"/>
    <w:locked/>
    <w:rsid w:val="00752EC7"/>
    <w:rPr>
      <w:rFonts w:ascii="Times New Roman" w:eastAsia="Times New Roman" w:hAnsi="Times New Roman" w:cs="Times New Roman"/>
      <w:noProof/>
      <w:sz w:val="20"/>
      <w:szCs w:val="20"/>
      <w:lang w:val="hy-AM"/>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rsid w:val="00752EC7"/>
    <w:rPr>
      <w:rFonts w:cs="Times New Roman"/>
      <w:vertAlign w:val="superscript"/>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752EC7"/>
    <w:pPr>
      <w:spacing w:line="240" w:lineRule="exact"/>
    </w:pPr>
    <w:rPr>
      <w:rFonts w:cs="Times New Roman"/>
      <w:vertAlign w:val="superscript"/>
    </w:rPr>
  </w:style>
  <w:style w:type="table" w:customStyle="1" w:styleId="TableGrid2">
    <w:name w:val="Table Grid2"/>
    <w:basedOn w:val="TableNormal"/>
    <w:next w:val="TableGrid"/>
    <w:uiPriority w:val="39"/>
    <w:rsid w:val="00752E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52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752EC7"/>
    <w:rPr>
      <w:rFonts w:asciiTheme="majorHAnsi" w:eastAsiaTheme="majorEastAsia" w:hAnsiTheme="majorHAnsi" w:cstheme="majorBidi"/>
      <w:color w:val="2E74B5" w:themeColor="accent1" w:themeShade="BF"/>
      <w:sz w:val="32"/>
      <w:szCs w:val="32"/>
    </w:rPr>
  </w:style>
  <w:style w:type="character" w:customStyle="1" w:styleId="Heading1Char1">
    <w:name w:val="Heading 1 Char1"/>
    <w:link w:val="Heading1"/>
    <w:uiPriority w:val="9"/>
    <w:locked/>
    <w:rsid w:val="00752EC7"/>
    <w:rPr>
      <w:rFonts w:ascii="Times Armenian" w:eastAsia="Times New Roman" w:hAnsi="Times Armenian" w:cs="Times New Roman"/>
      <w:b/>
      <w:i/>
      <w:noProof/>
      <w:sz w:val="28"/>
      <w:szCs w:val="20"/>
      <w:lang w:val="hy-AM"/>
    </w:r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uiPriority w:val="34"/>
    <w:qFormat/>
    <w:rsid w:val="00752EC7"/>
    <w:pPr>
      <w:spacing w:after="200" w:line="276" w:lineRule="auto"/>
      <w:ind w:left="720"/>
      <w:contextualSpacing/>
    </w:pPr>
    <w:rPr>
      <w:rFonts w:ascii="Calibri" w:eastAsia="Times New Roman" w:hAnsi="Calibri" w:cs="Calibri"/>
      <w:lang w:val="ru-RU" w:eastAsia="ru-RU"/>
    </w:rPr>
  </w:style>
  <w:style w:type="paragraph" w:styleId="BalloonText">
    <w:name w:val="Balloon Text"/>
    <w:basedOn w:val="Normal"/>
    <w:link w:val="BalloonTextChar"/>
    <w:uiPriority w:val="99"/>
    <w:semiHidden/>
    <w:unhideWhenUsed/>
    <w:rsid w:val="009921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21AD"/>
    <w:rPr>
      <w:rFonts w:ascii="Segoe UI" w:hAnsi="Segoe UI" w:cs="Segoe UI"/>
      <w:sz w:val="18"/>
      <w:szCs w:val="18"/>
    </w:rPr>
  </w:style>
  <w:style w:type="character" w:styleId="CommentReference">
    <w:name w:val="annotation reference"/>
    <w:basedOn w:val="DefaultParagraphFont"/>
    <w:uiPriority w:val="99"/>
    <w:semiHidden/>
    <w:unhideWhenUsed/>
    <w:rsid w:val="008A5155"/>
    <w:rPr>
      <w:sz w:val="16"/>
      <w:szCs w:val="16"/>
    </w:rPr>
  </w:style>
  <w:style w:type="paragraph" w:styleId="CommentText">
    <w:name w:val="annotation text"/>
    <w:basedOn w:val="Normal"/>
    <w:link w:val="CommentTextChar"/>
    <w:uiPriority w:val="99"/>
    <w:semiHidden/>
    <w:unhideWhenUsed/>
    <w:rsid w:val="008A5155"/>
    <w:pPr>
      <w:spacing w:line="240" w:lineRule="auto"/>
    </w:pPr>
    <w:rPr>
      <w:sz w:val="20"/>
      <w:szCs w:val="20"/>
    </w:rPr>
  </w:style>
  <w:style w:type="character" w:customStyle="1" w:styleId="CommentTextChar">
    <w:name w:val="Comment Text Char"/>
    <w:basedOn w:val="DefaultParagraphFont"/>
    <w:link w:val="CommentText"/>
    <w:uiPriority w:val="99"/>
    <w:semiHidden/>
    <w:rsid w:val="008A5155"/>
    <w:rPr>
      <w:sz w:val="20"/>
      <w:szCs w:val="20"/>
    </w:rPr>
  </w:style>
  <w:style w:type="paragraph" w:styleId="CommentSubject">
    <w:name w:val="annotation subject"/>
    <w:basedOn w:val="CommentText"/>
    <w:next w:val="CommentText"/>
    <w:link w:val="CommentSubjectChar"/>
    <w:uiPriority w:val="99"/>
    <w:semiHidden/>
    <w:unhideWhenUsed/>
    <w:rsid w:val="008A5155"/>
    <w:rPr>
      <w:b/>
      <w:bCs/>
    </w:rPr>
  </w:style>
  <w:style w:type="character" w:customStyle="1" w:styleId="CommentSubjectChar">
    <w:name w:val="Comment Subject Char"/>
    <w:basedOn w:val="CommentTextChar"/>
    <w:link w:val="CommentSubject"/>
    <w:uiPriority w:val="99"/>
    <w:semiHidden/>
    <w:rsid w:val="008A5155"/>
    <w:rPr>
      <w:b/>
      <w:bCs/>
      <w:sz w:val="20"/>
      <w:szCs w:val="20"/>
    </w:rPr>
  </w:style>
  <w:style w:type="character" w:customStyle="1" w:styleId="Heading2Char">
    <w:name w:val="Heading 2 Char"/>
    <w:basedOn w:val="DefaultParagraphFont"/>
    <w:link w:val="Heading2"/>
    <w:rsid w:val="00134BCA"/>
    <w:rPr>
      <w:rFonts w:ascii="GHEA Grapalat" w:eastAsia="Times New Roman" w:hAnsi="GHEA Grapalat" w:cs="Times New Roman"/>
      <w:b/>
      <w:noProof/>
      <w:sz w:val="24"/>
      <w:szCs w:val="24"/>
      <w:lang w:val="de-AT"/>
    </w:rPr>
  </w:style>
  <w:style w:type="paragraph" w:styleId="NormalWeb">
    <w:name w:val="Normal (Web)"/>
    <w:aliases w:val="webb"/>
    <w:basedOn w:val="Normal"/>
    <w:link w:val="NormalWebChar"/>
    <w:uiPriority w:val="99"/>
    <w:qFormat/>
    <w:rsid w:val="00BB4648"/>
    <w:pPr>
      <w:spacing w:before="100" w:beforeAutospacing="1" w:after="100" w:afterAutospacing="1" w:line="240" w:lineRule="auto"/>
    </w:pPr>
    <w:rPr>
      <w:rFonts w:ascii="Times New Roman" w:eastAsia="Times New Roman" w:hAnsi="Times New Roman" w:cs="Times New Roman"/>
      <w:sz w:val="24"/>
      <w:szCs w:val="24"/>
      <w:lang w:val="nl-NL" w:eastAsia="nl-NL"/>
    </w:rPr>
  </w:style>
  <w:style w:type="character" w:customStyle="1" w:styleId="NormalWebChar">
    <w:name w:val="Normal (Web) Char"/>
    <w:aliases w:val="webb Char"/>
    <w:link w:val="NormalWeb"/>
    <w:uiPriority w:val="99"/>
    <w:locked/>
    <w:rsid w:val="00BB4648"/>
    <w:rPr>
      <w:rFonts w:ascii="Times New Roman" w:eastAsia="Times New Roman" w:hAnsi="Times New Roman" w:cs="Times New Roman"/>
      <w:sz w:val="24"/>
      <w:szCs w:val="24"/>
      <w:lang w:val="nl-NL" w:eastAsia="nl-NL"/>
    </w:rPr>
  </w:style>
  <w:style w:type="paragraph" w:customStyle="1" w:styleId="mechtex">
    <w:name w:val="mechtex"/>
    <w:basedOn w:val="Normal"/>
    <w:link w:val="mechtexChar"/>
    <w:uiPriority w:val="99"/>
    <w:qFormat/>
    <w:rsid w:val="005F209E"/>
    <w:pPr>
      <w:spacing w:after="0" w:line="240" w:lineRule="auto"/>
      <w:jc w:val="center"/>
    </w:pPr>
    <w:rPr>
      <w:rFonts w:ascii="Arial Armenian" w:eastAsia="Times New Roman" w:hAnsi="Arial Armenian" w:cs="Times New Roman"/>
      <w:szCs w:val="20"/>
      <w:lang w:eastAsia="ru-RU"/>
    </w:rPr>
  </w:style>
  <w:style w:type="character" w:customStyle="1" w:styleId="mechtexChar">
    <w:name w:val="mechtex Char"/>
    <w:link w:val="mechtex"/>
    <w:uiPriority w:val="99"/>
    <w:rsid w:val="005F209E"/>
    <w:rPr>
      <w:rFonts w:ascii="Arial Armenian" w:eastAsia="Times New Roman" w:hAnsi="Arial Armenian" w:cs="Times New Roman"/>
      <w:szCs w:val="20"/>
      <w:lang w:eastAsia="ru-RU"/>
    </w:rPr>
  </w:style>
  <w:style w:type="paragraph" w:styleId="Header">
    <w:name w:val="header"/>
    <w:basedOn w:val="Normal"/>
    <w:link w:val="HeaderChar"/>
    <w:uiPriority w:val="99"/>
    <w:unhideWhenUsed/>
    <w:rsid w:val="001846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6D0"/>
  </w:style>
  <w:style w:type="paragraph" w:styleId="Footer">
    <w:name w:val="footer"/>
    <w:basedOn w:val="Normal"/>
    <w:link w:val="FooterChar"/>
    <w:uiPriority w:val="99"/>
    <w:unhideWhenUsed/>
    <w:rsid w:val="001846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6D0"/>
  </w:style>
  <w:style w:type="character" w:customStyle="1" w:styleId="Heading3Char">
    <w:name w:val="Heading 3 Char"/>
    <w:basedOn w:val="DefaultParagraphFont"/>
    <w:link w:val="Heading3"/>
    <w:uiPriority w:val="9"/>
    <w:rsid w:val="00C247F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0"/>
            </a:pPr>
            <a:r>
              <a:rPr lang="hy-AM" sz="1000" b="0"/>
              <a:t>Եկամուտները</a:t>
            </a:r>
            <a:endParaRPr lang="en-US" sz="1000" b="0"/>
          </a:p>
        </c:rich>
      </c:tx>
      <c:layout>
        <c:manualLayout>
          <c:xMode val="edge"/>
          <c:yMode val="edge"/>
          <c:x val="0.34201937451472919"/>
          <c:y val="0"/>
        </c:manualLayout>
      </c:layout>
      <c:overlay val="0"/>
    </c:title>
    <c:autoTitleDeleted val="0"/>
    <c:plotArea>
      <c:layout>
        <c:manualLayout>
          <c:layoutTarget val="inner"/>
          <c:xMode val="edge"/>
          <c:yMode val="edge"/>
          <c:x val="0.1119659006331809"/>
          <c:y val="0.1133587408519911"/>
          <c:w val="0.78453242443506488"/>
          <c:h val="0.64507638307100079"/>
        </c:manualLayout>
      </c:layout>
      <c:barChart>
        <c:barDir val="col"/>
        <c:grouping val="clustered"/>
        <c:varyColors val="0"/>
        <c:ser>
          <c:idx val="0"/>
          <c:order val="0"/>
          <c:tx>
            <c:strRef>
              <c:f>Sheet1!$B$1</c:f>
              <c:strCache>
                <c:ptCount val="1"/>
                <c:pt idx="0">
                  <c:v>Ընդամենը եկամուտներ, մլրդ դրամ</c:v>
                </c:pt>
              </c:strCache>
            </c:strRef>
          </c:tx>
          <c:spPr>
            <a:ln w="28575" cap="rnd">
              <a:solidFill>
                <a:schemeClr val="accent1"/>
              </a:solidFill>
              <a:round/>
            </a:ln>
            <a:effectLst/>
          </c:spPr>
          <c:invertIfNegative val="0"/>
          <c:dLbls>
            <c:dLbl>
              <c:idx val="0"/>
              <c:layout>
                <c:manualLayout>
                  <c:x val="-4.0160642570281312E-3"/>
                  <c:y val="0.2210723272992937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067-4BCB-991D-14F8696FED7D}"/>
                </c:ext>
              </c:extLst>
            </c:dLbl>
            <c:dLbl>
              <c:idx val="1"/>
              <c:layout>
                <c:manualLayout>
                  <c:x val="3.6813497083431306E-17"/>
                  <c:y val="0.2245612468544524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067-4BCB-991D-14F8696FED7D}"/>
                </c:ext>
              </c:extLst>
            </c:dLbl>
            <c:dLbl>
              <c:idx val="2"/>
              <c:layout>
                <c:manualLayout>
                  <c:x val="4.0160642570281121E-3"/>
                  <c:y val="0.2635752360851800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067-4BCB-991D-14F8696FED7D}"/>
                </c:ext>
              </c:extLst>
            </c:dLbl>
            <c:dLbl>
              <c:idx val="3"/>
              <c:layout>
                <c:manualLayout>
                  <c:x val="0"/>
                  <c:y val="0.3046075168438996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067-4BCB-991D-14F8696FED7D}"/>
                </c:ext>
              </c:extLst>
            </c:dLbl>
            <c:dLbl>
              <c:idx val="4"/>
              <c:layout>
                <c:manualLayout>
                  <c:x val="1.2048192771084485E-2"/>
                  <c:y val="0.3110309278350514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067-4BCB-991D-14F8696FED7D}"/>
                </c:ext>
              </c:extLst>
            </c:dLbl>
            <c:dLbl>
              <c:idx val="5"/>
              <c:layout>
                <c:manualLayout>
                  <c:x val="-1.4725398833372522E-16"/>
                  <c:y val="0.3222396298400843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067-4BCB-991D-14F8696FED7D}"/>
                </c:ext>
              </c:extLst>
            </c:dLbl>
            <c:spPr>
              <a:noFill/>
              <a:ln>
                <a:noFill/>
              </a:ln>
              <a:effectLst/>
            </c:spPr>
            <c:txPr>
              <a:bodyPr wrap="square" lIns="38100" tIns="19050" rIns="38100" bIns="19050" anchor="ctr">
                <a:spAutoFit/>
              </a:bodyPr>
              <a:lstStyle/>
              <a:p>
                <a:pPr>
                  <a:defRPr sz="900"/>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Sheet1!$A$2:$A$7</c:f>
              <c:numCache>
                <c:formatCode>General</c:formatCode>
                <c:ptCount val="5"/>
                <c:pt idx="0">
                  <c:v>2020</c:v>
                </c:pt>
                <c:pt idx="1">
                  <c:v>2021</c:v>
                </c:pt>
                <c:pt idx="2">
                  <c:v>2022</c:v>
                </c:pt>
                <c:pt idx="3">
                  <c:v>2023</c:v>
                </c:pt>
                <c:pt idx="4">
                  <c:v>2024</c:v>
                </c:pt>
              </c:numCache>
            </c:numRef>
          </c:cat>
          <c:val>
            <c:numRef>
              <c:f>Sheet1!$B$2:$B$7</c:f>
              <c:numCache>
                <c:formatCode>#,##0.0</c:formatCode>
                <c:ptCount val="5"/>
                <c:pt idx="0">
                  <c:v>1573.9908062</c:v>
                </c:pt>
                <c:pt idx="1">
                  <c:v>1706.5194296</c:v>
                </c:pt>
                <c:pt idx="2">
                  <c:v>2099.5963181000002</c:v>
                </c:pt>
                <c:pt idx="3">
                  <c:v>2410.72998555</c:v>
                </c:pt>
                <c:pt idx="4">
                  <c:v>2579.2302387999998</c:v>
                </c:pt>
              </c:numCache>
            </c:numRef>
          </c:val>
          <c:extLst>
            <c:ext xmlns:c16="http://schemas.microsoft.com/office/drawing/2014/chart" uri="{C3380CC4-5D6E-409C-BE32-E72D297353CC}">
              <c16:uniqueId val="{00000006-6067-4BCB-991D-14F8696FED7D}"/>
            </c:ext>
          </c:extLst>
        </c:ser>
        <c:ser>
          <c:idx val="2"/>
          <c:order val="2"/>
          <c:tx>
            <c:strRef>
              <c:f>Sheet1!$D$1</c:f>
              <c:strCache>
                <c:ptCount val="1"/>
                <c:pt idx="0">
                  <c:v>Հարկային եկամուտներ, մլրդ դրամ</c:v>
                </c:pt>
              </c:strCache>
            </c:strRef>
          </c:tx>
          <c:spPr>
            <a:solidFill>
              <a:srgbClr val="F79646"/>
            </a:solidFill>
          </c:spPr>
          <c:invertIfNegative val="0"/>
          <c:dLbls>
            <c:spPr>
              <a:noFill/>
              <a:ln w="25400">
                <a:noFill/>
              </a:ln>
            </c:spPr>
            <c:txPr>
              <a:bodyPr wrap="square" lIns="38100" tIns="19050" rIns="38100" bIns="19050" anchor="ctr">
                <a:spAutoFit/>
              </a:bodyPr>
              <a:lstStyle/>
              <a:p>
                <a:pPr>
                  <a:defRPr sz="900"/>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Sheet1!$A$2:$A$7</c:f>
              <c:numCache>
                <c:formatCode>General</c:formatCode>
                <c:ptCount val="5"/>
                <c:pt idx="0">
                  <c:v>2020</c:v>
                </c:pt>
                <c:pt idx="1">
                  <c:v>2021</c:v>
                </c:pt>
                <c:pt idx="2">
                  <c:v>2022</c:v>
                </c:pt>
                <c:pt idx="3">
                  <c:v>2023</c:v>
                </c:pt>
                <c:pt idx="4">
                  <c:v>2024</c:v>
                </c:pt>
              </c:numCache>
            </c:numRef>
          </c:cat>
          <c:val>
            <c:numRef>
              <c:f>Sheet1!$D$2:$D$7</c:f>
              <c:numCache>
                <c:formatCode>#,##0.0</c:formatCode>
                <c:ptCount val="5"/>
                <c:pt idx="0">
                  <c:v>1398.5408944999999</c:v>
                </c:pt>
                <c:pt idx="1">
                  <c:v>1609.5881631</c:v>
                </c:pt>
                <c:pt idx="2">
                  <c:v>1962.4696524999999</c:v>
                </c:pt>
                <c:pt idx="3">
                  <c:v>2273.8712139600002</c:v>
                </c:pt>
                <c:pt idx="4">
                  <c:v>2390.8949527700001</c:v>
                </c:pt>
              </c:numCache>
            </c:numRef>
          </c:val>
          <c:extLst>
            <c:ext xmlns:c16="http://schemas.microsoft.com/office/drawing/2014/chart" uri="{C3380CC4-5D6E-409C-BE32-E72D297353CC}">
              <c16:uniqueId val="{00000007-6067-4BCB-991D-14F8696FED7D}"/>
            </c:ext>
          </c:extLst>
        </c:ser>
        <c:dLbls>
          <c:showLegendKey val="0"/>
          <c:showVal val="0"/>
          <c:showCatName val="0"/>
          <c:showSerName val="0"/>
          <c:showPercent val="0"/>
          <c:showBubbleSize val="0"/>
        </c:dLbls>
        <c:gapWidth val="150"/>
        <c:axId val="-1366859024"/>
        <c:axId val="-1366857936"/>
      </c:barChart>
      <c:lineChart>
        <c:grouping val="standard"/>
        <c:varyColors val="0"/>
        <c:ser>
          <c:idx val="1"/>
          <c:order val="1"/>
          <c:tx>
            <c:strRef>
              <c:f>Sheet1!$C$1</c:f>
              <c:strCache>
                <c:ptCount val="1"/>
                <c:pt idx="0">
                  <c:v>Ընդամենը եկամուտներ, % ՀՆԱ-ում</c:v>
                </c:pt>
              </c:strCache>
            </c:strRef>
          </c:tx>
          <c:marker>
            <c:symbol val="square"/>
            <c:size val="7"/>
            <c:spPr>
              <a:ln>
                <a:noFill/>
              </a:ln>
            </c:spPr>
          </c:marker>
          <c:dLbls>
            <c:spPr>
              <a:noFill/>
              <a:ln w="25400">
                <a:noFill/>
              </a:ln>
            </c:spPr>
            <c:txPr>
              <a:bodyPr/>
              <a:lstStyle/>
              <a:p>
                <a:pPr>
                  <a:defRPr b="1"/>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Sheet1!$A$2:$A$7</c:f>
              <c:numCache>
                <c:formatCode>General</c:formatCode>
                <c:ptCount val="5"/>
                <c:pt idx="0">
                  <c:v>2020</c:v>
                </c:pt>
                <c:pt idx="1">
                  <c:v>2021</c:v>
                </c:pt>
                <c:pt idx="2">
                  <c:v>2022</c:v>
                </c:pt>
                <c:pt idx="3">
                  <c:v>2023</c:v>
                </c:pt>
                <c:pt idx="4">
                  <c:v>2024</c:v>
                </c:pt>
              </c:numCache>
            </c:numRef>
          </c:cat>
          <c:val>
            <c:numRef>
              <c:f>Sheet1!$C$2:$C$7</c:f>
              <c:numCache>
                <c:formatCode>0.0</c:formatCode>
                <c:ptCount val="5"/>
                <c:pt idx="0">
                  <c:v>25.46142325069955</c:v>
                </c:pt>
                <c:pt idx="1">
                  <c:v>24.408296116761605</c:v>
                </c:pt>
                <c:pt idx="2">
                  <c:v>24.696930729588299</c:v>
                </c:pt>
                <c:pt idx="3">
                  <c:v>25.501802151707764</c:v>
                </c:pt>
                <c:pt idx="4">
                  <c:v>25.468430795658247</c:v>
                </c:pt>
              </c:numCache>
            </c:numRef>
          </c:val>
          <c:smooth val="0"/>
          <c:extLst>
            <c:ext xmlns:c16="http://schemas.microsoft.com/office/drawing/2014/chart" uri="{C3380CC4-5D6E-409C-BE32-E72D297353CC}">
              <c16:uniqueId val="{00000008-6067-4BCB-991D-14F8696FED7D}"/>
            </c:ext>
          </c:extLst>
        </c:ser>
        <c:ser>
          <c:idx val="3"/>
          <c:order val="3"/>
          <c:tx>
            <c:strRef>
              <c:f>Sheet1!$E$1</c:f>
              <c:strCache>
                <c:ptCount val="1"/>
                <c:pt idx="0">
                  <c:v>Հարկեր և եկ․ հարկի վերադարձ, % ՀՆԱ-ում</c:v>
                </c:pt>
              </c:strCache>
            </c:strRef>
          </c:tx>
          <c:spPr>
            <a:ln>
              <a:solidFill>
                <a:srgbClr val="9BBB59"/>
              </a:solidFill>
            </a:ln>
          </c:spPr>
          <c:marker>
            <c:symbol val="diamond"/>
            <c:size val="7"/>
            <c:spPr>
              <a:solidFill>
                <a:srgbClr val="9BBB59"/>
              </a:solidFill>
              <a:ln>
                <a:noFill/>
              </a:ln>
            </c:spPr>
          </c:marker>
          <c:dLbls>
            <c:spPr>
              <a:noFill/>
              <a:ln>
                <a:noFill/>
              </a:ln>
              <a:effectLst/>
            </c:spPr>
            <c:txPr>
              <a:bodyPr wrap="square" lIns="38100" tIns="19050" rIns="38100" bIns="19050" anchor="ctr">
                <a:spAutoFit/>
              </a:bodyPr>
              <a:lstStyle/>
              <a:p>
                <a:pPr>
                  <a:defRPr b="1"/>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Sheet1!$A$2:$A$7</c:f>
              <c:numCache>
                <c:formatCode>General</c:formatCode>
                <c:ptCount val="5"/>
                <c:pt idx="0">
                  <c:v>2020</c:v>
                </c:pt>
                <c:pt idx="1">
                  <c:v>2021</c:v>
                </c:pt>
                <c:pt idx="2">
                  <c:v>2022</c:v>
                </c:pt>
                <c:pt idx="3">
                  <c:v>2023</c:v>
                </c:pt>
                <c:pt idx="4">
                  <c:v>2024</c:v>
                </c:pt>
              </c:numCache>
            </c:numRef>
          </c:cat>
          <c:val>
            <c:numRef>
              <c:f>Sheet1!$E$2:$E$7</c:f>
              <c:numCache>
                <c:formatCode>0.0</c:formatCode>
                <c:ptCount val="5"/>
                <c:pt idx="0">
                  <c:v>22.623301670912774</c:v>
                </c:pt>
                <c:pt idx="1">
                  <c:v>23.021935319368986</c:v>
                </c:pt>
                <c:pt idx="2">
                  <c:v>23.08395088171671</c:v>
                </c:pt>
                <c:pt idx="3">
                  <c:v>24.054047597327884</c:v>
                </c:pt>
                <c:pt idx="4">
                  <c:v>23.608727025731856</c:v>
                </c:pt>
              </c:numCache>
            </c:numRef>
          </c:val>
          <c:smooth val="0"/>
          <c:extLst>
            <c:ext xmlns:c16="http://schemas.microsoft.com/office/drawing/2014/chart" uri="{C3380CC4-5D6E-409C-BE32-E72D297353CC}">
              <c16:uniqueId val="{00000009-6067-4BCB-991D-14F8696FED7D}"/>
            </c:ext>
          </c:extLst>
        </c:ser>
        <c:dLbls>
          <c:showLegendKey val="0"/>
          <c:showVal val="0"/>
          <c:showCatName val="0"/>
          <c:showSerName val="0"/>
          <c:showPercent val="0"/>
          <c:showBubbleSize val="0"/>
        </c:dLbls>
        <c:marker val="1"/>
        <c:smooth val="0"/>
        <c:axId val="-1366857392"/>
        <c:axId val="-1366856848"/>
      </c:lineChart>
      <c:catAx>
        <c:axId val="-1366859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sz="900"/>
            </a:pPr>
            <a:endParaRPr lang="en-US"/>
          </a:p>
        </c:txPr>
        <c:crossAx val="-1366857936"/>
        <c:crosses val="autoZero"/>
        <c:auto val="1"/>
        <c:lblAlgn val="ctr"/>
        <c:lblOffset val="100"/>
        <c:noMultiLvlLbl val="0"/>
      </c:catAx>
      <c:valAx>
        <c:axId val="-1366857936"/>
        <c:scaling>
          <c:orientation val="minMax"/>
        </c:scaling>
        <c:delete val="0"/>
        <c:axPos val="l"/>
        <c:numFmt formatCode="#,##0.0" sourceLinked="1"/>
        <c:majorTickMark val="none"/>
        <c:minorTickMark val="none"/>
        <c:tickLblPos val="nextTo"/>
        <c:spPr>
          <a:ln w="9525">
            <a:noFill/>
          </a:ln>
        </c:spPr>
        <c:txPr>
          <a:bodyPr rot="-60000000" vert="horz"/>
          <a:lstStyle/>
          <a:p>
            <a:pPr>
              <a:defRPr sz="900"/>
            </a:pPr>
            <a:endParaRPr lang="en-US"/>
          </a:p>
        </c:txPr>
        <c:crossAx val="-1366859024"/>
        <c:crosses val="autoZero"/>
        <c:crossBetween val="between"/>
      </c:valAx>
      <c:catAx>
        <c:axId val="-1366857392"/>
        <c:scaling>
          <c:orientation val="minMax"/>
        </c:scaling>
        <c:delete val="1"/>
        <c:axPos val="b"/>
        <c:numFmt formatCode="General" sourceLinked="1"/>
        <c:majorTickMark val="out"/>
        <c:minorTickMark val="none"/>
        <c:tickLblPos val="nextTo"/>
        <c:crossAx val="-1366856848"/>
        <c:crosses val="autoZero"/>
        <c:auto val="1"/>
        <c:lblAlgn val="ctr"/>
        <c:lblOffset val="100"/>
        <c:noMultiLvlLbl val="0"/>
      </c:catAx>
      <c:valAx>
        <c:axId val="-1366856848"/>
        <c:scaling>
          <c:orientation val="minMax"/>
        </c:scaling>
        <c:delete val="0"/>
        <c:axPos val="r"/>
        <c:numFmt formatCode="0.0" sourceLinked="1"/>
        <c:majorTickMark val="out"/>
        <c:minorTickMark val="none"/>
        <c:tickLblPos val="nextTo"/>
        <c:txPr>
          <a:bodyPr/>
          <a:lstStyle/>
          <a:p>
            <a:pPr>
              <a:defRPr sz="900"/>
            </a:pPr>
            <a:endParaRPr lang="en-US"/>
          </a:p>
        </c:txPr>
        <c:crossAx val="-1366857392"/>
        <c:crosses val="max"/>
        <c:crossBetween val="between"/>
      </c:valAx>
      <c:spPr>
        <a:solidFill>
          <a:schemeClr val="bg1"/>
        </a:solidFill>
        <a:ln>
          <a:solidFill>
            <a:sysClr val="window" lastClr="FFFFFF">
              <a:lumMod val="75000"/>
            </a:sysClr>
          </a:solidFill>
        </a:ln>
        <a:effectLst/>
      </c:spPr>
    </c:plotArea>
    <c:legend>
      <c:legendPos val="b"/>
      <c:layout>
        <c:manualLayout>
          <c:xMode val="edge"/>
          <c:yMode val="edge"/>
          <c:x val="0"/>
          <c:y val="0.83540249479124384"/>
          <c:w val="0.99337349397590358"/>
          <c:h val="0.16459723462402251"/>
        </c:manualLayout>
      </c:layout>
      <c:overlay val="0"/>
      <c:spPr>
        <a:noFill/>
        <a:ln w="25400">
          <a:noFill/>
        </a:ln>
      </c:spPr>
      <c:txPr>
        <a:bodyPr rot="0" vert="horz"/>
        <a:lstStyle/>
        <a:p>
          <a:pPr>
            <a:defRPr sz="800"/>
          </a:pPr>
          <a:endParaRPr lang="en-US"/>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a:pPr>
            <a:r>
              <a:rPr lang="hy-AM" sz="1000"/>
              <a:t>Կապիտալ ծախսերի </a:t>
            </a:r>
            <a:r>
              <a:rPr lang="en-US" sz="1000"/>
              <a:t>/ </a:t>
            </a:r>
            <a:r>
              <a:rPr lang="hy-AM" sz="1000"/>
              <a:t>պակասուրդի կանոն</a:t>
            </a:r>
            <a:endParaRPr lang="en-US" sz="1000"/>
          </a:p>
        </c:rich>
      </c:tx>
      <c:layout>
        <c:manualLayout>
          <c:xMode val="edge"/>
          <c:yMode val="edge"/>
          <c:x val="0.20234355880928703"/>
          <c:y val="0"/>
        </c:manualLayout>
      </c:layout>
      <c:overlay val="0"/>
      <c:spPr>
        <a:noFill/>
        <a:ln w="25394">
          <a:noFill/>
        </a:ln>
      </c:spPr>
    </c:title>
    <c:autoTitleDeleted val="0"/>
    <c:plotArea>
      <c:layout>
        <c:manualLayout>
          <c:layoutTarget val="inner"/>
          <c:xMode val="edge"/>
          <c:yMode val="edge"/>
          <c:x val="0.2687539966595085"/>
          <c:y val="0.14425632782061412"/>
          <c:w val="0.7232698639942734"/>
          <c:h val="0.59580779046217847"/>
        </c:manualLayout>
      </c:layout>
      <c:barChart>
        <c:barDir val="col"/>
        <c:grouping val="clustered"/>
        <c:varyColors val="0"/>
        <c:ser>
          <c:idx val="0"/>
          <c:order val="0"/>
          <c:tx>
            <c:strRef>
              <c:f>Sheet1!$B$1</c:f>
              <c:strCache>
                <c:ptCount val="1"/>
                <c:pt idx="0">
                  <c:v>Կապիտալ ծախսեր, մլրդ դրամ</c:v>
                </c:pt>
              </c:strCache>
            </c:strRef>
          </c:tx>
          <c:spPr>
            <a:solidFill>
              <a:srgbClr val="4F81BD"/>
            </a:solidFill>
          </c:spPr>
          <c:invertIfNegative val="0"/>
          <c:cat>
            <c:numRef>
              <c:f>Sheet1!$A$2:$A$10</c:f>
              <c:numCache>
                <c:formatCode>General</c:formatCode>
                <c:ptCount val="5"/>
                <c:pt idx="0">
                  <c:v>2020</c:v>
                </c:pt>
                <c:pt idx="1">
                  <c:v>2021</c:v>
                </c:pt>
                <c:pt idx="2">
                  <c:v>2022</c:v>
                </c:pt>
                <c:pt idx="3">
                  <c:v>2023</c:v>
                </c:pt>
                <c:pt idx="4">
                  <c:v>2024</c:v>
                </c:pt>
              </c:numCache>
            </c:numRef>
          </c:cat>
          <c:val>
            <c:numRef>
              <c:f>Sheet1!$B$2:$B$10</c:f>
              <c:numCache>
                <c:formatCode>0.0</c:formatCode>
                <c:ptCount val="5"/>
                <c:pt idx="0">
                  <c:v>227.69831293999999</c:v>
                </c:pt>
                <c:pt idx="1">
                  <c:v>218.39952757</c:v>
                </c:pt>
                <c:pt idx="2">
                  <c:v>389.11973379000005</c:v>
                </c:pt>
                <c:pt idx="3">
                  <c:v>494.35393634000002</c:v>
                </c:pt>
                <c:pt idx="4">
                  <c:v>557.75169660999995</c:v>
                </c:pt>
              </c:numCache>
            </c:numRef>
          </c:val>
          <c:extLst>
            <c:ext xmlns:c16="http://schemas.microsoft.com/office/drawing/2014/chart" uri="{C3380CC4-5D6E-409C-BE32-E72D297353CC}">
              <c16:uniqueId val="{00000000-7A4D-4C75-8662-0AD8FB35C403}"/>
            </c:ext>
          </c:extLst>
        </c:ser>
        <c:ser>
          <c:idx val="1"/>
          <c:order val="1"/>
          <c:tx>
            <c:strRef>
              <c:f>Sheet1!$C$1</c:f>
              <c:strCache>
                <c:ptCount val="1"/>
                <c:pt idx="0">
                  <c:v>Պետական բյուջեի պակասուրդ, մլրդ դրամ</c:v>
                </c:pt>
              </c:strCache>
            </c:strRef>
          </c:tx>
          <c:spPr>
            <a:solidFill>
              <a:srgbClr val="F79646"/>
            </a:solidFill>
            <a:ln>
              <a:solidFill>
                <a:srgbClr val="C00000"/>
              </a:solidFill>
            </a:ln>
          </c:spPr>
          <c:invertIfNegative val="0"/>
          <c:cat>
            <c:numRef>
              <c:f>Sheet1!$A$2:$A$10</c:f>
              <c:numCache>
                <c:formatCode>General</c:formatCode>
                <c:ptCount val="5"/>
                <c:pt idx="0">
                  <c:v>2020</c:v>
                </c:pt>
                <c:pt idx="1">
                  <c:v>2021</c:v>
                </c:pt>
                <c:pt idx="2">
                  <c:v>2022</c:v>
                </c:pt>
                <c:pt idx="3">
                  <c:v>2023</c:v>
                </c:pt>
                <c:pt idx="4">
                  <c:v>2024</c:v>
                </c:pt>
              </c:numCache>
            </c:numRef>
          </c:cat>
          <c:val>
            <c:numRef>
              <c:f>Sheet1!$C$2:$C$10</c:f>
              <c:numCache>
                <c:formatCode>0.0</c:formatCode>
                <c:ptCount val="5"/>
                <c:pt idx="0">
                  <c:v>333.99175418800019</c:v>
                </c:pt>
                <c:pt idx="1">
                  <c:v>320.46961205000002</c:v>
                </c:pt>
                <c:pt idx="2">
                  <c:v>179.46318335640001</c:v>
                </c:pt>
                <c:pt idx="3">
                  <c:v>188.866285498</c:v>
                </c:pt>
                <c:pt idx="4">
                  <c:v>376.08865917999998</c:v>
                </c:pt>
              </c:numCache>
            </c:numRef>
          </c:val>
          <c:extLst>
            <c:ext xmlns:c16="http://schemas.microsoft.com/office/drawing/2014/chart" uri="{C3380CC4-5D6E-409C-BE32-E72D297353CC}">
              <c16:uniqueId val="{00000001-7A4D-4C75-8662-0AD8FB35C403}"/>
            </c:ext>
          </c:extLst>
        </c:ser>
        <c:ser>
          <c:idx val="2"/>
          <c:order val="2"/>
          <c:tx>
            <c:strRef>
              <c:f>Sheet1!$D$1</c:f>
              <c:strCache>
                <c:ptCount val="1"/>
                <c:pt idx="0">
                  <c:v>Շեղում կանոնից, մլրդ դրամ</c:v>
                </c:pt>
              </c:strCache>
            </c:strRef>
          </c:tx>
          <c:spPr>
            <a:solidFill>
              <a:srgbClr val="FF00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Sheet1!$A$2:$A$10</c:f>
              <c:numCache>
                <c:formatCode>General</c:formatCode>
                <c:ptCount val="5"/>
                <c:pt idx="0">
                  <c:v>2020</c:v>
                </c:pt>
                <c:pt idx="1">
                  <c:v>2021</c:v>
                </c:pt>
                <c:pt idx="2">
                  <c:v>2022</c:v>
                </c:pt>
                <c:pt idx="3">
                  <c:v>2023</c:v>
                </c:pt>
                <c:pt idx="4">
                  <c:v>2024</c:v>
                </c:pt>
              </c:numCache>
            </c:numRef>
          </c:cat>
          <c:val>
            <c:numRef>
              <c:f>Sheet1!$D$2:$D$10</c:f>
              <c:numCache>
                <c:formatCode>0.0</c:formatCode>
                <c:ptCount val="5"/>
                <c:pt idx="0">
                  <c:v>106.29344124800019</c:v>
                </c:pt>
                <c:pt idx="1">
                  <c:v>102.07008448000002</c:v>
                </c:pt>
                <c:pt idx="2">
                  <c:v>-209.65655043360005</c:v>
                </c:pt>
                <c:pt idx="3">
                  <c:v>-305.48765084199999</c:v>
                </c:pt>
                <c:pt idx="4">
                  <c:v>-181.66303742999997</c:v>
                </c:pt>
              </c:numCache>
            </c:numRef>
          </c:val>
          <c:extLst>
            <c:ext xmlns:c16="http://schemas.microsoft.com/office/drawing/2014/chart" uri="{C3380CC4-5D6E-409C-BE32-E72D297353CC}">
              <c16:uniqueId val="{00000002-7A4D-4C75-8662-0AD8FB35C403}"/>
            </c:ext>
          </c:extLst>
        </c:ser>
        <c:dLbls>
          <c:showLegendKey val="0"/>
          <c:showVal val="0"/>
          <c:showCatName val="0"/>
          <c:showSerName val="0"/>
          <c:showPercent val="0"/>
          <c:showBubbleSize val="0"/>
        </c:dLbls>
        <c:gapWidth val="150"/>
        <c:axId val="-742393392"/>
        <c:axId val="-742401552"/>
      </c:barChart>
      <c:catAx>
        <c:axId val="-742393392"/>
        <c:scaling>
          <c:orientation val="minMax"/>
        </c:scaling>
        <c:delete val="0"/>
        <c:axPos val="b"/>
        <c:numFmt formatCode="General" sourceLinked="1"/>
        <c:majorTickMark val="out"/>
        <c:minorTickMark val="none"/>
        <c:tickLblPos val="low"/>
        <c:txPr>
          <a:bodyPr/>
          <a:lstStyle/>
          <a:p>
            <a:pPr>
              <a:defRPr sz="900"/>
            </a:pPr>
            <a:endParaRPr lang="en-US"/>
          </a:p>
        </c:txPr>
        <c:crossAx val="-742401552"/>
        <c:crosses val="autoZero"/>
        <c:auto val="1"/>
        <c:lblAlgn val="ctr"/>
        <c:lblOffset val="100"/>
        <c:noMultiLvlLbl val="0"/>
      </c:catAx>
      <c:valAx>
        <c:axId val="-742401552"/>
        <c:scaling>
          <c:orientation val="minMax"/>
        </c:scaling>
        <c:delete val="0"/>
        <c:axPos val="l"/>
        <c:numFmt formatCode="0.0" sourceLinked="1"/>
        <c:majorTickMark val="out"/>
        <c:minorTickMark val="none"/>
        <c:tickLblPos val="nextTo"/>
        <c:spPr>
          <a:ln>
            <a:noFill/>
          </a:ln>
        </c:spPr>
        <c:txPr>
          <a:bodyPr/>
          <a:lstStyle/>
          <a:p>
            <a:pPr>
              <a:defRPr sz="900"/>
            </a:pPr>
            <a:endParaRPr lang="en-US"/>
          </a:p>
        </c:txPr>
        <c:crossAx val="-742393392"/>
        <c:crosses val="autoZero"/>
        <c:crossBetween val="between"/>
        <c:majorUnit val="200"/>
      </c:valAx>
      <c:spPr>
        <a:noFill/>
        <a:ln w="25400">
          <a:noFill/>
        </a:ln>
      </c:spPr>
    </c:plotArea>
    <c:legend>
      <c:legendPos val="r"/>
      <c:layout>
        <c:manualLayout>
          <c:xMode val="edge"/>
          <c:yMode val="edge"/>
          <c:x val="0"/>
          <c:y val="0.84674817529952628"/>
          <c:w val="0.93542416288872987"/>
          <c:h val="0.15325177778383239"/>
        </c:manualLayout>
      </c:layout>
      <c:overlay val="0"/>
      <c:spPr>
        <a:ln>
          <a:noFill/>
        </a:ln>
      </c:spPr>
      <c:txPr>
        <a:bodyPr/>
        <a:lstStyle/>
        <a:p>
          <a:pPr>
            <a:defRPr sz="800"/>
          </a:pPr>
          <a:endParaRPr lang="en-US"/>
        </a:p>
      </c:txPr>
    </c:legend>
    <c:plotVisOnly val="1"/>
    <c:dispBlanksAs val="gap"/>
    <c:showDLblsOverMax val="0"/>
  </c:chart>
  <c:spPr>
    <a:noFill/>
    <a:ln w="9523">
      <a:solidFill>
        <a:sysClr val="windowText" lastClr="000000">
          <a:alpha val="20000"/>
        </a:sysClr>
      </a:solidFill>
    </a:ln>
  </c:spPr>
  <c:txPr>
    <a:bodyPr/>
    <a:lstStyle/>
    <a:p>
      <a:pPr>
        <a:defRPr sz="1000">
          <a:latin typeface="GHEA Grapalat" panose="02000506050000020003" pitchFamily="50" charset="0"/>
        </a:defRPr>
      </a:pPr>
      <a:endParaRPr lang="en-US"/>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a:pPr>
            <a:r>
              <a:rPr lang="hy-AM" sz="1000"/>
              <a:t>Ընթացիկ ծախսերի կանոն</a:t>
            </a:r>
            <a:endParaRPr lang="en-US" sz="1000"/>
          </a:p>
        </c:rich>
      </c:tx>
      <c:layout>
        <c:manualLayout>
          <c:xMode val="edge"/>
          <c:yMode val="edge"/>
          <c:x val="0.23992359121298951"/>
          <c:y val="9.22722029988466E-3"/>
        </c:manualLayout>
      </c:layout>
      <c:overlay val="0"/>
      <c:spPr>
        <a:noFill/>
        <a:ln w="25149">
          <a:noFill/>
        </a:ln>
      </c:spPr>
    </c:title>
    <c:autoTitleDeleted val="0"/>
    <c:plotArea>
      <c:layout>
        <c:manualLayout>
          <c:layoutTarget val="inner"/>
          <c:xMode val="edge"/>
          <c:yMode val="edge"/>
          <c:x val="0.17534831081894581"/>
          <c:y val="0.15136176159798206"/>
          <c:w val="0.84534030535631255"/>
          <c:h val="0.59284899339206654"/>
        </c:manualLayout>
      </c:layout>
      <c:barChart>
        <c:barDir val="col"/>
        <c:grouping val="clustered"/>
        <c:varyColors val="0"/>
        <c:ser>
          <c:idx val="0"/>
          <c:order val="0"/>
          <c:tx>
            <c:strRef>
              <c:f>Sheet1!$B$1</c:f>
              <c:strCache>
                <c:ptCount val="1"/>
                <c:pt idx="0">
                  <c:v>Ընթացիկ առաջնային ծախսերն ըստ կանոնի, մլրդ դրամ</c:v>
                </c:pt>
              </c:strCache>
            </c:strRef>
          </c:tx>
          <c:spPr>
            <a:solidFill>
              <a:srgbClr val="4F81BD"/>
            </a:solidFill>
          </c:spPr>
          <c:invertIfNegative val="0"/>
          <c:cat>
            <c:numRef>
              <c:f>Sheet1!$A$2:$A$10</c:f>
              <c:numCache>
                <c:formatCode>General</c:formatCode>
                <c:ptCount val="5"/>
                <c:pt idx="0">
                  <c:v>2020</c:v>
                </c:pt>
                <c:pt idx="1">
                  <c:v>2021</c:v>
                </c:pt>
                <c:pt idx="2">
                  <c:v>2022</c:v>
                </c:pt>
                <c:pt idx="3">
                  <c:v>2023</c:v>
                </c:pt>
                <c:pt idx="4">
                  <c:v>2024</c:v>
                </c:pt>
              </c:numCache>
            </c:numRef>
          </c:cat>
          <c:val>
            <c:numRef>
              <c:f>Sheet1!$B$2:$B$10</c:f>
              <c:numCache>
                <c:formatCode>0.0</c:formatCode>
                <c:ptCount val="5"/>
                <c:pt idx="0">
                  <c:v>1297.6170272401653</c:v>
                </c:pt>
                <c:pt idx="1">
                  <c:v>1441.8595177494344</c:v>
                </c:pt>
                <c:pt idx="2">
                  <c:v>1634.0108834794851</c:v>
                </c:pt>
                <c:pt idx="3">
                  <c:v>1779.0488274241902</c:v>
                </c:pt>
              </c:numCache>
            </c:numRef>
          </c:val>
          <c:extLst>
            <c:ext xmlns:c16="http://schemas.microsoft.com/office/drawing/2014/chart" uri="{C3380CC4-5D6E-409C-BE32-E72D297353CC}">
              <c16:uniqueId val="{00000000-604E-495F-AF62-4304A58BF3EB}"/>
            </c:ext>
          </c:extLst>
        </c:ser>
        <c:ser>
          <c:idx val="1"/>
          <c:order val="1"/>
          <c:tx>
            <c:strRef>
              <c:f>Sheet1!$C$1</c:f>
              <c:strCache>
                <c:ptCount val="1"/>
                <c:pt idx="0">
                  <c:v>Փաստացի ընթացիկ առաջնային ծախսեր, մլրդ դրամ</c:v>
                </c:pt>
              </c:strCache>
            </c:strRef>
          </c:tx>
          <c:spPr>
            <a:solidFill>
              <a:srgbClr val="F79646"/>
            </a:solidFill>
            <a:ln>
              <a:noFill/>
            </a:ln>
          </c:spPr>
          <c:invertIfNegative val="0"/>
          <c:cat>
            <c:numRef>
              <c:f>Sheet1!$A$2:$A$10</c:f>
              <c:numCache>
                <c:formatCode>General</c:formatCode>
                <c:ptCount val="5"/>
                <c:pt idx="0">
                  <c:v>2020</c:v>
                </c:pt>
                <c:pt idx="1">
                  <c:v>2021</c:v>
                </c:pt>
                <c:pt idx="2">
                  <c:v>2022</c:v>
                </c:pt>
                <c:pt idx="3">
                  <c:v>2023</c:v>
                </c:pt>
                <c:pt idx="4">
                  <c:v>2024</c:v>
                </c:pt>
              </c:numCache>
            </c:numRef>
          </c:cat>
          <c:val>
            <c:numRef>
              <c:f>Sheet1!$C$2:$C$10</c:f>
              <c:numCache>
                <c:formatCode>0.0</c:formatCode>
                <c:ptCount val="5"/>
                <c:pt idx="0">
                  <c:v>1503.45265997</c:v>
                </c:pt>
                <c:pt idx="1">
                  <c:v>1607.1302098200001</c:v>
                </c:pt>
                <c:pt idx="2">
                  <c:v>1663.89061302</c:v>
                </c:pt>
                <c:pt idx="3">
                  <c:v>1821.6476180899999</c:v>
                </c:pt>
                <c:pt idx="4">
                  <c:v>2100.0492738800003</c:v>
                </c:pt>
              </c:numCache>
            </c:numRef>
          </c:val>
          <c:extLst>
            <c:ext xmlns:c16="http://schemas.microsoft.com/office/drawing/2014/chart" uri="{C3380CC4-5D6E-409C-BE32-E72D297353CC}">
              <c16:uniqueId val="{00000001-604E-495F-AF62-4304A58BF3EB}"/>
            </c:ext>
          </c:extLst>
        </c:ser>
        <c:ser>
          <c:idx val="2"/>
          <c:order val="2"/>
          <c:tx>
            <c:strRef>
              <c:f>Sheet1!$D$1</c:f>
              <c:strCache>
                <c:ptCount val="1"/>
                <c:pt idx="0">
                  <c:v>Շեղում կանոնից, մլրդ դրամ</c:v>
                </c:pt>
              </c:strCache>
            </c:strRef>
          </c:tx>
          <c:spPr>
            <a:solidFill>
              <a:srgbClr val="FF0000"/>
            </a:solidFill>
          </c:spPr>
          <c:invertIfNegative val="0"/>
          <c:dLbls>
            <c:dLbl>
              <c:idx val="4"/>
              <c:layout>
                <c:manualLayout>
                  <c:x val="0"/>
                  <c:y val="8.76585928489042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537-4E2D-B863-1A48848F11E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Sheet1!$A$2:$A$10</c:f>
              <c:numCache>
                <c:formatCode>General</c:formatCode>
                <c:ptCount val="5"/>
                <c:pt idx="0">
                  <c:v>2020</c:v>
                </c:pt>
                <c:pt idx="1">
                  <c:v>2021</c:v>
                </c:pt>
                <c:pt idx="2">
                  <c:v>2022</c:v>
                </c:pt>
                <c:pt idx="3">
                  <c:v>2023</c:v>
                </c:pt>
                <c:pt idx="4">
                  <c:v>2024</c:v>
                </c:pt>
              </c:numCache>
            </c:numRef>
          </c:cat>
          <c:val>
            <c:numRef>
              <c:f>Sheet1!$D$2:$D$10</c:f>
              <c:numCache>
                <c:formatCode>0.0</c:formatCode>
                <c:ptCount val="5"/>
                <c:pt idx="0">
                  <c:v>-205.83563272983474</c:v>
                </c:pt>
                <c:pt idx="1">
                  <c:v>-165.2706920705657</c:v>
                </c:pt>
                <c:pt idx="2">
                  <c:v>-29.879729540514973</c:v>
                </c:pt>
                <c:pt idx="3">
                  <c:v>-42.598790665809702</c:v>
                </c:pt>
                <c:pt idx="4">
                  <c:v>0</c:v>
                </c:pt>
              </c:numCache>
            </c:numRef>
          </c:val>
          <c:extLst>
            <c:ext xmlns:c16="http://schemas.microsoft.com/office/drawing/2014/chart" uri="{C3380CC4-5D6E-409C-BE32-E72D297353CC}">
              <c16:uniqueId val="{00000003-604E-495F-AF62-4304A58BF3EB}"/>
            </c:ext>
          </c:extLst>
        </c:ser>
        <c:dLbls>
          <c:showLegendKey val="0"/>
          <c:showVal val="0"/>
          <c:showCatName val="0"/>
          <c:showSerName val="0"/>
          <c:showPercent val="0"/>
          <c:showBubbleSize val="0"/>
        </c:dLbls>
        <c:gapWidth val="150"/>
        <c:axId val="-742405904"/>
        <c:axId val="-742399376"/>
      </c:barChart>
      <c:catAx>
        <c:axId val="-742405904"/>
        <c:scaling>
          <c:orientation val="minMax"/>
        </c:scaling>
        <c:delete val="0"/>
        <c:axPos val="b"/>
        <c:numFmt formatCode="General" sourceLinked="1"/>
        <c:majorTickMark val="out"/>
        <c:minorTickMark val="none"/>
        <c:tickLblPos val="low"/>
        <c:txPr>
          <a:bodyPr/>
          <a:lstStyle/>
          <a:p>
            <a:pPr>
              <a:defRPr sz="900"/>
            </a:pPr>
            <a:endParaRPr lang="en-US"/>
          </a:p>
        </c:txPr>
        <c:crossAx val="-742399376"/>
        <c:crosses val="autoZero"/>
        <c:auto val="1"/>
        <c:lblAlgn val="ctr"/>
        <c:lblOffset val="100"/>
        <c:noMultiLvlLbl val="0"/>
      </c:catAx>
      <c:valAx>
        <c:axId val="-742399376"/>
        <c:scaling>
          <c:orientation val="minMax"/>
          <c:max val="2500"/>
        </c:scaling>
        <c:delete val="0"/>
        <c:axPos val="l"/>
        <c:numFmt formatCode="0.0" sourceLinked="1"/>
        <c:majorTickMark val="out"/>
        <c:minorTickMark val="none"/>
        <c:tickLblPos val="nextTo"/>
        <c:spPr>
          <a:ln>
            <a:noFill/>
          </a:ln>
        </c:spPr>
        <c:txPr>
          <a:bodyPr/>
          <a:lstStyle/>
          <a:p>
            <a:pPr>
              <a:defRPr sz="900"/>
            </a:pPr>
            <a:endParaRPr lang="en-US"/>
          </a:p>
        </c:txPr>
        <c:crossAx val="-742405904"/>
        <c:crosses val="autoZero"/>
        <c:crossBetween val="between"/>
      </c:valAx>
      <c:spPr>
        <a:ln w="6350">
          <a:solidFill>
            <a:sysClr val="window" lastClr="FFFFFF">
              <a:lumMod val="85000"/>
            </a:sysClr>
          </a:solidFill>
        </a:ln>
      </c:spPr>
    </c:plotArea>
    <c:legend>
      <c:legendPos val="r"/>
      <c:layout>
        <c:manualLayout>
          <c:xMode val="edge"/>
          <c:yMode val="edge"/>
          <c:x val="0"/>
          <c:y val="0.85601721981486045"/>
          <c:w val="0.98288071789191489"/>
          <c:h val="0.1439827806991254"/>
        </c:manualLayout>
      </c:layout>
      <c:overlay val="0"/>
      <c:spPr>
        <a:ln>
          <a:noFill/>
        </a:ln>
      </c:spPr>
      <c:txPr>
        <a:bodyPr/>
        <a:lstStyle/>
        <a:p>
          <a:pPr>
            <a:defRPr sz="800"/>
          </a:pPr>
          <a:endParaRPr lang="en-US"/>
        </a:p>
      </c:txPr>
    </c:legend>
    <c:plotVisOnly val="1"/>
    <c:dispBlanksAs val="gap"/>
    <c:showDLblsOverMax val="0"/>
  </c:chart>
  <c:spPr>
    <a:noFill/>
    <a:ln w="9431">
      <a:solidFill>
        <a:sysClr val="windowText" lastClr="000000">
          <a:alpha val="20000"/>
        </a:sysClr>
      </a:solidFill>
    </a:ln>
  </c:spPr>
  <c:txPr>
    <a:bodyPr/>
    <a:lstStyle/>
    <a:p>
      <a:pPr>
        <a:defRPr sz="990">
          <a:ln>
            <a:noFill/>
          </a:ln>
          <a:latin typeface="GHEA Grapalat" panose="02000506050000020003" pitchFamily="50" charset="0"/>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87" b="0"/>
            </a:pPr>
            <a:r>
              <a:rPr lang="hy-AM" sz="999" b="0" i="0" baseline="0">
                <a:effectLst/>
              </a:rPr>
              <a:t>Պետական բյուջեի պակասուրդի դինամիկան</a:t>
            </a:r>
            <a:endParaRPr lang="en-US" sz="600" b="0">
              <a:effectLst/>
            </a:endParaRPr>
          </a:p>
        </c:rich>
      </c:tx>
      <c:layout>
        <c:manualLayout>
          <c:xMode val="edge"/>
          <c:yMode val="edge"/>
          <c:x val="0.16806880272041466"/>
          <c:y val="0"/>
        </c:manualLayout>
      </c:layout>
      <c:overlay val="0"/>
      <c:spPr>
        <a:noFill/>
        <a:ln w="25113">
          <a:noFill/>
        </a:ln>
      </c:spPr>
    </c:title>
    <c:autoTitleDeleted val="0"/>
    <c:plotArea>
      <c:layout>
        <c:manualLayout>
          <c:layoutTarget val="inner"/>
          <c:xMode val="edge"/>
          <c:yMode val="edge"/>
          <c:x val="0.13415845955035438"/>
          <c:y val="0.14277245836003377"/>
          <c:w val="0.84534030535631255"/>
          <c:h val="0.47108729725297116"/>
        </c:manualLayout>
      </c:layout>
      <c:barChart>
        <c:barDir val="col"/>
        <c:grouping val="clustered"/>
        <c:varyColors val="0"/>
        <c:ser>
          <c:idx val="0"/>
          <c:order val="0"/>
          <c:tx>
            <c:strRef>
              <c:f>Sheet1!$B$1</c:f>
              <c:strCache>
                <c:ptCount val="1"/>
                <c:pt idx="0">
                  <c:v>Պետական բյուջեի պակասուրդ/ՀՆԱ,  %</c:v>
                </c:pt>
              </c:strCache>
            </c:strRef>
          </c:tx>
          <c:spPr>
            <a:solidFill>
              <a:srgbClr val="C00000"/>
            </a:solidFill>
          </c:spPr>
          <c:invertIfNegative val="0"/>
          <c:cat>
            <c:numRef>
              <c:f>Sheet1!$A$2:$A$12</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Sheet1!$B$2:$B$12</c:f>
              <c:numCache>
                <c:formatCode>0.0</c:formatCode>
                <c:ptCount val="10"/>
                <c:pt idx="0">
                  <c:v>4.8</c:v>
                </c:pt>
                <c:pt idx="1">
                  <c:v>5.5</c:v>
                </c:pt>
                <c:pt idx="2">
                  <c:v>4.8</c:v>
                </c:pt>
                <c:pt idx="3">
                  <c:v>1.8</c:v>
                </c:pt>
                <c:pt idx="4">
                  <c:v>1</c:v>
                </c:pt>
                <c:pt idx="5">
                  <c:v>5.4</c:v>
                </c:pt>
                <c:pt idx="6">
                  <c:v>4.5999999999999996</c:v>
                </c:pt>
                <c:pt idx="7">
                  <c:v>2.1121322161004099</c:v>
                </c:pt>
                <c:pt idx="8">
                  <c:v>2</c:v>
                </c:pt>
                <c:pt idx="9">
                  <c:v>3.7136614814120801</c:v>
                </c:pt>
              </c:numCache>
            </c:numRef>
          </c:val>
          <c:extLst>
            <c:ext xmlns:c16="http://schemas.microsoft.com/office/drawing/2014/chart" uri="{C3380CC4-5D6E-409C-BE32-E72D297353CC}">
              <c16:uniqueId val="{00000000-97BB-4289-840E-ADC9A33C3A9B}"/>
            </c:ext>
          </c:extLst>
        </c:ser>
        <c:ser>
          <c:idx val="1"/>
          <c:order val="1"/>
          <c:tx>
            <c:strRef>
              <c:f>Sheet1!$C$1</c:f>
              <c:strCache>
                <c:ptCount val="1"/>
                <c:pt idx="0">
                  <c:v>Պետական բյուջեի առաջնային պակասուրդ/ՀՆԱ,  %</c:v>
                </c:pt>
              </c:strCache>
            </c:strRef>
          </c:tx>
          <c:spPr>
            <a:solidFill>
              <a:srgbClr val="4F81BD"/>
            </a:solidFill>
            <a:ln>
              <a:noFill/>
            </a:ln>
          </c:spPr>
          <c:invertIfNegative val="0"/>
          <c:cat>
            <c:numRef>
              <c:f>Sheet1!$A$2:$A$12</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Sheet1!$C$2:$C$12</c:f>
              <c:numCache>
                <c:formatCode>0.0</c:formatCode>
                <c:ptCount val="10"/>
                <c:pt idx="0">
                  <c:v>3.3</c:v>
                </c:pt>
                <c:pt idx="1">
                  <c:v>3.5</c:v>
                </c:pt>
                <c:pt idx="2">
                  <c:v>2.6</c:v>
                </c:pt>
                <c:pt idx="3">
                  <c:v>-0.6</c:v>
                </c:pt>
                <c:pt idx="4">
                  <c:v>-1.4</c:v>
                </c:pt>
                <c:pt idx="5">
                  <c:v>2.7</c:v>
                </c:pt>
                <c:pt idx="6">
                  <c:v>2</c:v>
                </c:pt>
                <c:pt idx="7">
                  <c:v>-0.2209451008059915</c:v>
                </c:pt>
                <c:pt idx="8">
                  <c:v>-0.68280173477905848</c:v>
                </c:pt>
                <c:pt idx="9">
                  <c:v>0.61720622417175619</c:v>
                </c:pt>
              </c:numCache>
            </c:numRef>
          </c:val>
          <c:extLst>
            <c:ext xmlns:c16="http://schemas.microsoft.com/office/drawing/2014/chart" uri="{C3380CC4-5D6E-409C-BE32-E72D297353CC}">
              <c16:uniqueId val="{00000001-97BB-4289-840E-ADC9A33C3A9B}"/>
            </c:ext>
          </c:extLst>
        </c:ser>
        <c:dLbls>
          <c:showLegendKey val="0"/>
          <c:showVal val="0"/>
          <c:showCatName val="0"/>
          <c:showSerName val="0"/>
          <c:showPercent val="0"/>
          <c:showBubbleSize val="0"/>
        </c:dLbls>
        <c:gapWidth val="150"/>
        <c:axId val="-742392304"/>
        <c:axId val="-742397200"/>
      </c:barChart>
      <c:lineChart>
        <c:grouping val="standard"/>
        <c:varyColors val="0"/>
        <c:ser>
          <c:idx val="2"/>
          <c:order val="2"/>
          <c:tx>
            <c:strRef>
              <c:f>Sheet1!$D$1</c:f>
              <c:strCache>
                <c:ptCount val="1"/>
                <c:pt idx="0">
                  <c:v>10տ․ միջին պակասուրդ </c:v>
                </c:pt>
              </c:strCache>
            </c:strRef>
          </c:tx>
          <c:spPr>
            <a:ln w="25363">
              <a:solidFill>
                <a:srgbClr val="C00000"/>
              </a:solidFill>
              <a:prstDash val="dash"/>
            </a:ln>
          </c:spPr>
          <c:marker>
            <c:symbol val="none"/>
          </c:marker>
          <c:cat>
            <c:numRef>
              <c:f>Sheet1!$A$2:$A$12</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Sheet1!$D$2:$D$12</c:f>
              <c:numCache>
                <c:formatCode>0.0</c:formatCode>
                <c:ptCount val="10"/>
                <c:pt idx="0">
                  <c:v>3.4205266997738635</c:v>
                </c:pt>
                <c:pt idx="1">
                  <c:v>3.4205266997738635</c:v>
                </c:pt>
                <c:pt idx="2">
                  <c:v>3.4205266997738635</c:v>
                </c:pt>
                <c:pt idx="3">
                  <c:v>3.4205266997738635</c:v>
                </c:pt>
                <c:pt idx="4">
                  <c:v>3.4205266997738635</c:v>
                </c:pt>
                <c:pt idx="5">
                  <c:v>3.4205266997738635</c:v>
                </c:pt>
                <c:pt idx="6">
                  <c:v>3.4205266997738635</c:v>
                </c:pt>
                <c:pt idx="7">
                  <c:v>3.4205266997738635</c:v>
                </c:pt>
                <c:pt idx="8">
                  <c:v>3.4205266997738635</c:v>
                </c:pt>
                <c:pt idx="9">
                  <c:v>3.4205266997738635</c:v>
                </c:pt>
              </c:numCache>
            </c:numRef>
          </c:val>
          <c:smooth val="0"/>
          <c:extLst>
            <c:ext xmlns:c16="http://schemas.microsoft.com/office/drawing/2014/chart" uri="{C3380CC4-5D6E-409C-BE32-E72D297353CC}">
              <c16:uniqueId val="{00000002-97BB-4289-840E-ADC9A33C3A9B}"/>
            </c:ext>
          </c:extLst>
        </c:ser>
        <c:ser>
          <c:idx val="3"/>
          <c:order val="3"/>
          <c:tx>
            <c:strRef>
              <c:f>Sheet1!$E$1</c:f>
              <c:strCache>
                <c:ptCount val="1"/>
                <c:pt idx="0">
                  <c:v>10տ․ միջին առաջնային պակասուրդ</c:v>
                </c:pt>
              </c:strCache>
            </c:strRef>
          </c:tx>
          <c:spPr>
            <a:ln w="25363">
              <a:solidFill>
                <a:srgbClr val="4F81BD"/>
              </a:solidFill>
              <a:prstDash val="dash"/>
            </a:ln>
          </c:spPr>
          <c:marker>
            <c:symbol val="none"/>
          </c:marker>
          <c:cat>
            <c:numRef>
              <c:f>Sheet1!$A$2:$A$12</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Sheet1!$E$2:$E$12</c:f>
              <c:numCache>
                <c:formatCode>0.0</c:formatCode>
                <c:ptCount val="10"/>
                <c:pt idx="0">
                  <c:v>1.1284963080533368</c:v>
                </c:pt>
                <c:pt idx="1">
                  <c:v>1.1284963080533368</c:v>
                </c:pt>
                <c:pt idx="2">
                  <c:v>1.1284963080533368</c:v>
                </c:pt>
                <c:pt idx="3">
                  <c:v>1.1284963080533368</c:v>
                </c:pt>
                <c:pt idx="4">
                  <c:v>1.1284963080533368</c:v>
                </c:pt>
                <c:pt idx="5">
                  <c:v>1.1284963080533368</c:v>
                </c:pt>
                <c:pt idx="6">
                  <c:v>1.1284963080533368</c:v>
                </c:pt>
                <c:pt idx="7">
                  <c:v>1.1284963080533368</c:v>
                </c:pt>
                <c:pt idx="8">
                  <c:v>1.1284963080533368</c:v>
                </c:pt>
                <c:pt idx="9">
                  <c:v>1.1284963080533368</c:v>
                </c:pt>
              </c:numCache>
            </c:numRef>
          </c:val>
          <c:smooth val="0"/>
          <c:extLst>
            <c:ext xmlns:c16="http://schemas.microsoft.com/office/drawing/2014/chart" uri="{C3380CC4-5D6E-409C-BE32-E72D297353CC}">
              <c16:uniqueId val="{00000003-97BB-4289-840E-ADC9A33C3A9B}"/>
            </c:ext>
          </c:extLst>
        </c:ser>
        <c:ser>
          <c:idx val="4"/>
          <c:order val="4"/>
          <c:tx>
            <c:strRef>
              <c:f>Sheet1!$F$1</c:f>
              <c:strCache>
                <c:ptCount val="1"/>
                <c:pt idx="0">
                  <c:v>5տ․ միջին պակասուրդ</c:v>
                </c:pt>
              </c:strCache>
            </c:strRef>
          </c:tx>
          <c:marker>
            <c:symbol val="none"/>
          </c:marker>
          <c:cat>
            <c:numRef>
              <c:f>Sheet1!$A$2:$A$12</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Sheet1!$F$2:$F$12</c:f>
            </c:numRef>
          </c:val>
          <c:smooth val="0"/>
          <c:extLst>
            <c:ext xmlns:c16="http://schemas.microsoft.com/office/drawing/2014/chart" uri="{C3380CC4-5D6E-409C-BE32-E72D297353CC}">
              <c16:uniqueId val="{00000004-97BB-4289-840E-ADC9A33C3A9B}"/>
            </c:ext>
          </c:extLst>
        </c:ser>
        <c:ser>
          <c:idx val="5"/>
          <c:order val="5"/>
          <c:tx>
            <c:strRef>
              <c:f>Sheet1!$G$1</c:f>
              <c:strCache>
                <c:ptCount val="1"/>
                <c:pt idx="0">
                  <c:v>5տ․ միջին առաջնային պակասուրդ2</c:v>
                </c:pt>
              </c:strCache>
            </c:strRef>
          </c:tx>
          <c:marker>
            <c:symbol val="none"/>
          </c:marker>
          <c:cat>
            <c:numRef>
              <c:f>Sheet1!$A$2:$A$12</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Sheet1!$G$2:$G$12</c:f>
            </c:numRef>
          </c:val>
          <c:smooth val="0"/>
          <c:extLst>
            <c:ext xmlns:c16="http://schemas.microsoft.com/office/drawing/2014/chart" uri="{C3380CC4-5D6E-409C-BE32-E72D297353CC}">
              <c16:uniqueId val="{00000005-97BB-4289-840E-ADC9A33C3A9B}"/>
            </c:ext>
          </c:extLst>
        </c:ser>
        <c:dLbls>
          <c:showLegendKey val="0"/>
          <c:showVal val="0"/>
          <c:showCatName val="0"/>
          <c:showSerName val="0"/>
          <c:showPercent val="0"/>
          <c:showBubbleSize val="0"/>
        </c:dLbls>
        <c:marker val="1"/>
        <c:smooth val="0"/>
        <c:axId val="-742392304"/>
        <c:axId val="-742397200"/>
      </c:lineChart>
      <c:catAx>
        <c:axId val="-742392304"/>
        <c:scaling>
          <c:orientation val="minMax"/>
        </c:scaling>
        <c:delete val="0"/>
        <c:axPos val="b"/>
        <c:numFmt formatCode="General" sourceLinked="1"/>
        <c:majorTickMark val="out"/>
        <c:minorTickMark val="none"/>
        <c:tickLblPos val="low"/>
        <c:txPr>
          <a:bodyPr/>
          <a:lstStyle/>
          <a:p>
            <a:pPr>
              <a:defRPr sz="950"/>
            </a:pPr>
            <a:endParaRPr lang="en-US"/>
          </a:p>
        </c:txPr>
        <c:crossAx val="-742397200"/>
        <c:crosses val="autoZero"/>
        <c:auto val="1"/>
        <c:lblAlgn val="ctr"/>
        <c:lblOffset val="100"/>
        <c:noMultiLvlLbl val="0"/>
      </c:catAx>
      <c:valAx>
        <c:axId val="-742397200"/>
        <c:scaling>
          <c:orientation val="minMax"/>
        </c:scaling>
        <c:delete val="0"/>
        <c:axPos val="l"/>
        <c:numFmt formatCode="0.0" sourceLinked="1"/>
        <c:majorTickMark val="out"/>
        <c:minorTickMark val="none"/>
        <c:tickLblPos val="nextTo"/>
        <c:spPr>
          <a:ln>
            <a:noFill/>
          </a:ln>
        </c:spPr>
        <c:txPr>
          <a:bodyPr/>
          <a:lstStyle/>
          <a:p>
            <a:pPr>
              <a:defRPr sz="900"/>
            </a:pPr>
            <a:endParaRPr lang="en-US"/>
          </a:p>
        </c:txPr>
        <c:crossAx val="-742392304"/>
        <c:crosses val="autoZero"/>
        <c:crossBetween val="between"/>
      </c:valAx>
      <c:spPr>
        <a:ln w="6341">
          <a:solidFill>
            <a:sysClr val="window" lastClr="FFFFFF">
              <a:lumMod val="85000"/>
            </a:sysClr>
          </a:solidFill>
        </a:ln>
      </c:spPr>
    </c:plotArea>
    <c:legend>
      <c:legendPos val="r"/>
      <c:layout>
        <c:manualLayout>
          <c:xMode val="edge"/>
          <c:yMode val="edge"/>
          <c:x val="0"/>
          <c:y val="0.77218626823590508"/>
          <c:w val="0.97608379141286583"/>
          <c:h val="0.22781373176409481"/>
        </c:manualLayout>
      </c:layout>
      <c:overlay val="0"/>
      <c:spPr>
        <a:ln>
          <a:noFill/>
        </a:ln>
      </c:spPr>
      <c:txPr>
        <a:bodyPr/>
        <a:lstStyle/>
        <a:p>
          <a:pPr>
            <a:defRPr sz="799"/>
          </a:pPr>
          <a:endParaRPr lang="en-US"/>
        </a:p>
      </c:txPr>
    </c:legend>
    <c:plotVisOnly val="1"/>
    <c:dispBlanksAs val="gap"/>
    <c:showDLblsOverMax val="0"/>
  </c:chart>
  <c:spPr>
    <a:noFill/>
    <a:ln w="9417">
      <a:solidFill>
        <a:sysClr val="windowText" lastClr="000000">
          <a:alpha val="20000"/>
        </a:sysClr>
      </a:solidFill>
    </a:ln>
  </c:spPr>
  <c:txPr>
    <a:bodyPr/>
    <a:lstStyle/>
    <a:p>
      <a:pPr>
        <a:defRPr sz="989">
          <a:ln>
            <a:noFill/>
          </a:ln>
          <a:latin typeface="GHEA Grapalat" panose="02000506050000020003" pitchFamily="50" charset="0"/>
        </a:defRPr>
      </a:pPr>
      <a:endParaRPr lang="en-US"/>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0"/>
            </a:pPr>
            <a:r>
              <a:rPr lang="hy-AM" sz="1000" b="0"/>
              <a:t>Հարկաբյուջետային ազդակը</a:t>
            </a:r>
            <a:endParaRPr lang="en-US" sz="1000" b="0"/>
          </a:p>
        </c:rich>
      </c:tx>
      <c:layout>
        <c:manualLayout>
          <c:xMode val="edge"/>
          <c:yMode val="edge"/>
          <c:x val="0.23505666905273204"/>
          <c:y val="9.0929756762900653E-3"/>
        </c:manualLayout>
      </c:layout>
      <c:overlay val="0"/>
    </c:title>
    <c:autoTitleDeleted val="0"/>
    <c:plotArea>
      <c:layout>
        <c:manualLayout>
          <c:layoutTarget val="inner"/>
          <c:xMode val="edge"/>
          <c:yMode val="edge"/>
          <c:x val="8.9862204724409506E-2"/>
          <c:y val="0.14036310747780731"/>
          <c:w val="0.85071756247860364"/>
          <c:h val="0.57930688600230706"/>
        </c:manualLayout>
      </c:layout>
      <c:barChart>
        <c:barDir val="col"/>
        <c:grouping val="stacked"/>
        <c:varyColors val="0"/>
        <c:ser>
          <c:idx val="0"/>
          <c:order val="0"/>
          <c:tx>
            <c:strRef>
              <c:f>Sheet1!$B$1</c:f>
              <c:strCache>
                <c:ptCount val="1"/>
                <c:pt idx="0">
                  <c:v>Եկամուտների ազդակ</c:v>
                </c:pt>
              </c:strCache>
            </c:strRef>
          </c:tx>
          <c:invertIfNegative val="0"/>
          <c:cat>
            <c:numRef>
              <c:f>Sheet1!$A$2:$A$8</c:f>
              <c:numCache>
                <c:formatCode>General</c:formatCode>
                <c:ptCount val="5"/>
                <c:pt idx="0">
                  <c:v>2020</c:v>
                </c:pt>
                <c:pt idx="1">
                  <c:v>2021</c:v>
                </c:pt>
                <c:pt idx="2">
                  <c:v>2022</c:v>
                </c:pt>
                <c:pt idx="3">
                  <c:v>2023</c:v>
                </c:pt>
                <c:pt idx="4">
                  <c:v>2024</c:v>
                </c:pt>
              </c:numCache>
            </c:numRef>
          </c:cat>
          <c:val>
            <c:numRef>
              <c:f>Sheet1!$B$2:$B$8</c:f>
              <c:numCache>
                <c:formatCode>0.0</c:formatCode>
                <c:ptCount val="5"/>
                <c:pt idx="0">
                  <c:v>0.49500831806880358</c:v>
                </c:pt>
                <c:pt idx="1">
                  <c:v>-0.53192297873992278</c:v>
                </c:pt>
                <c:pt idx="2">
                  <c:v>-0.30067710617345411</c:v>
                </c:pt>
                <c:pt idx="3">
                  <c:v>-0.84238629242532592</c:v>
                </c:pt>
                <c:pt idx="4">
                  <c:v>0.15847413171654598</c:v>
                </c:pt>
              </c:numCache>
            </c:numRef>
          </c:val>
          <c:extLst>
            <c:ext xmlns:c16="http://schemas.microsoft.com/office/drawing/2014/chart" uri="{C3380CC4-5D6E-409C-BE32-E72D297353CC}">
              <c16:uniqueId val="{00000000-F29C-4907-9F89-43738DB301FF}"/>
            </c:ext>
          </c:extLst>
        </c:ser>
        <c:ser>
          <c:idx val="1"/>
          <c:order val="1"/>
          <c:tx>
            <c:strRef>
              <c:f>Sheet1!$C$1</c:f>
              <c:strCache>
                <c:ptCount val="1"/>
                <c:pt idx="0">
                  <c:v>Ծախսերի ազդակ</c:v>
                </c:pt>
              </c:strCache>
            </c:strRef>
          </c:tx>
          <c:spPr>
            <a:pattFill prst="wdUpDiag">
              <a:fgClr>
                <a:srgbClr val="4F81BD"/>
              </a:fgClr>
              <a:bgClr>
                <a:sysClr val="window" lastClr="FFFFFF"/>
              </a:bgClr>
            </a:pattFill>
            <a:ln w="25094"/>
          </c:spPr>
          <c:invertIfNegative val="0"/>
          <c:cat>
            <c:numRef>
              <c:f>Sheet1!$A$2:$A$8</c:f>
              <c:numCache>
                <c:formatCode>General</c:formatCode>
                <c:ptCount val="5"/>
                <c:pt idx="0">
                  <c:v>2020</c:v>
                </c:pt>
                <c:pt idx="1">
                  <c:v>2021</c:v>
                </c:pt>
                <c:pt idx="2">
                  <c:v>2022</c:v>
                </c:pt>
                <c:pt idx="3">
                  <c:v>2023</c:v>
                </c:pt>
                <c:pt idx="4">
                  <c:v>2024</c:v>
                </c:pt>
              </c:numCache>
            </c:numRef>
          </c:cat>
          <c:val>
            <c:numRef>
              <c:f>Sheet1!$C$2:$C$8</c:f>
              <c:numCache>
                <c:formatCode>0.0</c:formatCode>
                <c:ptCount val="5"/>
                <c:pt idx="0">
                  <c:v>3.3338840037314457</c:v>
                </c:pt>
                <c:pt idx="1">
                  <c:v>-0.53509452558181725</c:v>
                </c:pt>
                <c:pt idx="2">
                  <c:v>-1.4970599239294087</c:v>
                </c:pt>
                <c:pt idx="3">
                  <c:v>5.7076075734879841E-2</c:v>
                </c:pt>
                <c:pt idx="4">
                  <c:v>0.32014899630355775</c:v>
                </c:pt>
              </c:numCache>
            </c:numRef>
          </c:val>
          <c:extLst>
            <c:ext xmlns:c16="http://schemas.microsoft.com/office/drawing/2014/chart" uri="{C3380CC4-5D6E-409C-BE32-E72D297353CC}">
              <c16:uniqueId val="{00000001-F29C-4907-9F89-43738DB301FF}"/>
            </c:ext>
          </c:extLst>
        </c:ser>
        <c:dLbls>
          <c:showLegendKey val="0"/>
          <c:showVal val="0"/>
          <c:showCatName val="0"/>
          <c:showSerName val="0"/>
          <c:showPercent val="0"/>
          <c:showBubbleSize val="0"/>
        </c:dLbls>
        <c:gapWidth val="150"/>
        <c:overlap val="100"/>
        <c:axId val="-742408080"/>
        <c:axId val="-742391216"/>
      </c:barChart>
      <c:lineChart>
        <c:grouping val="standard"/>
        <c:varyColors val="0"/>
        <c:ser>
          <c:idx val="2"/>
          <c:order val="2"/>
          <c:tx>
            <c:strRef>
              <c:f>Sheet1!$D$1</c:f>
              <c:strCache>
                <c:ptCount val="1"/>
                <c:pt idx="0">
                  <c:v>Հարկաբյուջետային ազդակ՝ փաստացի</c:v>
                </c:pt>
              </c:strCache>
            </c:strRef>
          </c:tx>
          <c:dLbls>
            <c:dLbl>
              <c:idx val="0"/>
              <c:layout>
                <c:manualLayout>
                  <c:x val="-4.1944959688151304E-2"/>
                  <c:y val="-0.10774840474020059"/>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29C-4907-9F89-43738DB301FF}"/>
                </c:ext>
              </c:extLst>
            </c:dLbl>
            <c:dLbl>
              <c:idx val="1"/>
              <c:layout>
                <c:manualLayout>
                  <c:x val="-3.5486219448777952E-2"/>
                  <c:y val="-4.38680318543799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29C-4907-9F89-43738DB301FF}"/>
                </c:ext>
              </c:extLst>
            </c:dLbl>
            <c:dLbl>
              <c:idx val="2"/>
              <c:layout>
                <c:manualLayout>
                  <c:x val="-3.0540060997048268E-2"/>
                  <c:y val="3.99999999999999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29C-4907-9F89-43738DB301FF}"/>
                </c:ext>
              </c:extLst>
            </c:dLbl>
            <c:dLbl>
              <c:idx val="3"/>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29C-4907-9F89-43738DB301FF}"/>
                </c:ext>
              </c:extLst>
            </c:dLbl>
            <c:spPr>
              <a:noFill/>
              <a:ln w="25162">
                <a:noFill/>
              </a:ln>
            </c:spPr>
            <c:txPr>
              <a:bodyPr/>
              <a:lstStyle/>
              <a:p>
                <a:pPr>
                  <a:defRPr sz="991" b="1"/>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Sheet1!$A$2:$A$8</c:f>
              <c:numCache>
                <c:formatCode>General</c:formatCode>
                <c:ptCount val="5"/>
                <c:pt idx="0">
                  <c:v>2020</c:v>
                </c:pt>
                <c:pt idx="1">
                  <c:v>2021</c:v>
                </c:pt>
                <c:pt idx="2">
                  <c:v>2022</c:v>
                </c:pt>
                <c:pt idx="3">
                  <c:v>2023</c:v>
                </c:pt>
                <c:pt idx="4">
                  <c:v>2024</c:v>
                </c:pt>
              </c:numCache>
            </c:numRef>
          </c:cat>
          <c:val>
            <c:numRef>
              <c:f>Sheet1!$D$2:$D$8</c:f>
              <c:numCache>
                <c:formatCode>0.0</c:formatCode>
                <c:ptCount val="5"/>
                <c:pt idx="0">
                  <c:v>3.8288923218002493</c:v>
                </c:pt>
                <c:pt idx="1">
                  <c:v>-1.06701750432174</c:v>
                </c:pt>
                <c:pt idx="2">
                  <c:v>-1.7977370301028628</c:v>
                </c:pt>
                <c:pt idx="3">
                  <c:v>-0.78531021669044609</c:v>
                </c:pt>
                <c:pt idx="4">
                  <c:v>0.47862312802010376</c:v>
                </c:pt>
              </c:numCache>
            </c:numRef>
          </c:val>
          <c:smooth val="0"/>
          <c:extLst>
            <c:ext xmlns:c16="http://schemas.microsoft.com/office/drawing/2014/chart" uri="{C3380CC4-5D6E-409C-BE32-E72D297353CC}">
              <c16:uniqueId val="{00000007-F29C-4907-9F89-43738DB301FF}"/>
            </c:ext>
          </c:extLst>
        </c:ser>
        <c:dLbls>
          <c:showLegendKey val="0"/>
          <c:showVal val="0"/>
          <c:showCatName val="0"/>
          <c:showSerName val="0"/>
          <c:showPercent val="0"/>
          <c:showBubbleSize val="0"/>
        </c:dLbls>
        <c:marker val="1"/>
        <c:smooth val="0"/>
        <c:axId val="-742408080"/>
        <c:axId val="-742391216"/>
      </c:lineChart>
      <c:catAx>
        <c:axId val="-742408080"/>
        <c:scaling>
          <c:orientation val="minMax"/>
        </c:scaling>
        <c:delete val="0"/>
        <c:axPos val="b"/>
        <c:numFmt formatCode="General" sourceLinked="0"/>
        <c:majorTickMark val="none"/>
        <c:minorTickMark val="none"/>
        <c:tickLblPos val="low"/>
        <c:txPr>
          <a:bodyPr rot="0" vert="horz"/>
          <a:lstStyle/>
          <a:p>
            <a:pPr>
              <a:defRPr sz="900" b="0" i="0" u="none" strike="noStrike" baseline="0">
                <a:solidFill>
                  <a:srgbClr val="000000"/>
                </a:solidFill>
                <a:latin typeface="GHEA Grapalat"/>
                <a:ea typeface="GHEA Grapalat"/>
                <a:cs typeface="GHEA Grapalat"/>
              </a:defRPr>
            </a:pPr>
            <a:endParaRPr lang="en-US"/>
          </a:p>
        </c:txPr>
        <c:crossAx val="-742391216"/>
        <c:crosses val="autoZero"/>
        <c:auto val="1"/>
        <c:lblAlgn val="ctr"/>
        <c:lblOffset val="100"/>
        <c:tickLblSkip val="1"/>
        <c:noMultiLvlLbl val="0"/>
      </c:catAx>
      <c:valAx>
        <c:axId val="-742391216"/>
        <c:scaling>
          <c:orientation val="minMax"/>
        </c:scaling>
        <c:delete val="0"/>
        <c:axPos val="l"/>
        <c:numFmt formatCode="0.0" sourceLinked="1"/>
        <c:majorTickMark val="none"/>
        <c:minorTickMark val="none"/>
        <c:tickLblPos val="nextTo"/>
        <c:spPr>
          <a:ln w="6350"/>
        </c:spPr>
        <c:txPr>
          <a:bodyPr rot="0" vert="horz"/>
          <a:lstStyle/>
          <a:p>
            <a:pPr>
              <a:defRPr sz="900" b="0" i="0" u="none" strike="noStrike" baseline="0">
                <a:solidFill>
                  <a:srgbClr val="000000"/>
                </a:solidFill>
                <a:latin typeface="GHEA Grapalat"/>
                <a:ea typeface="GHEA Grapalat"/>
                <a:cs typeface="GHEA Grapalat"/>
              </a:defRPr>
            </a:pPr>
            <a:endParaRPr lang="en-US"/>
          </a:p>
        </c:txPr>
        <c:crossAx val="-742408080"/>
        <c:crosses val="autoZero"/>
        <c:crossBetween val="between"/>
      </c:valAx>
      <c:spPr>
        <a:ln w="6350">
          <a:solidFill>
            <a:sysClr val="window" lastClr="FFFFFF">
              <a:lumMod val="85000"/>
            </a:sysClr>
          </a:solidFill>
        </a:ln>
      </c:spPr>
    </c:plotArea>
    <c:legend>
      <c:legendPos val="b"/>
      <c:layout>
        <c:manualLayout>
          <c:xMode val="edge"/>
          <c:yMode val="edge"/>
          <c:x val="0"/>
          <c:y val="0.82410448608086195"/>
          <c:w val="1"/>
          <c:h val="0.15635168878387329"/>
        </c:manualLayout>
      </c:layout>
      <c:overlay val="0"/>
      <c:txPr>
        <a:bodyPr/>
        <a:lstStyle/>
        <a:p>
          <a:pPr>
            <a:defRPr sz="800" b="0" i="0" u="none" strike="noStrike" baseline="0">
              <a:solidFill>
                <a:sysClr val="windowText" lastClr="000000"/>
              </a:solidFill>
              <a:latin typeface="GHEA Grapalat"/>
              <a:ea typeface="GHEA Grapalat"/>
              <a:cs typeface="GHEA Grapalat"/>
            </a:defRPr>
          </a:pPr>
          <a:endParaRPr lang="en-US"/>
        </a:p>
      </c:txPr>
    </c:legend>
    <c:plotVisOnly val="1"/>
    <c:dispBlanksAs val="gap"/>
    <c:showDLblsOverMax val="0"/>
  </c:chart>
  <c:spPr>
    <a:noFill/>
    <a:ln w="6350">
      <a:solidFill>
        <a:sysClr val="window" lastClr="FFFFFF">
          <a:lumMod val="85000"/>
        </a:sysClr>
      </a:solidFill>
    </a:ln>
  </c:spPr>
  <c:txPr>
    <a:bodyPr/>
    <a:lstStyle/>
    <a:p>
      <a:pPr>
        <a:defRPr sz="985" b="0" i="0" u="none" strike="noStrike" baseline="0">
          <a:solidFill>
            <a:srgbClr val="000000"/>
          </a:solidFill>
          <a:latin typeface="GHEA Grapalat"/>
          <a:ea typeface="GHEA Grapalat"/>
          <a:cs typeface="GHEA Grapalat"/>
        </a:defRPr>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percentStacked"/>
        <c:varyColors val="0"/>
        <c:ser>
          <c:idx val="0"/>
          <c:order val="0"/>
          <c:tx>
            <c:strRef>
              <c:f>[Charts_2024.xlsx]Գ7!$A$34</c:f>
              <c:strCache>
                <c:ptCount val="1"/>
                <c:pt idx="0">
                  <c:v>դրամով</c:v>
                </c:pt>
              </c:strCache>
            </c:strRef>
          </c:tx>
          <c:spPr>
            <a:solidFill>
              <a:schemeClr val="accent1"/>
            </a:solidFill>
            <a:ln>
              <a:noFill/>
            </a:ln>
            <a:effectLst/>
          </c:spPr>
          <c:invertIfNegative val="0"/>
          <c:cat>
            <c:numRef>
              <c:f>[Charts_2024.xlsx]Գ7!$B$24:$Z$24</c:f>
              <c:numCache>
                <c:formatCode>0</c:formatCode>
                <c:ptCount val="11"/>
                <c:pt idx="0">
                  <c:v>2014</c:v>
                </c:pt>
                <c:pt idx="1">
                  <c:v>2015</c:v>
                </c:pt>
                <c:pt idx="2">
                  <c:v>2016</c:v>
                </c:pt>
                <c:pt idx="3">
                  <c:v>2017</c:v>
                </c:pt>
                <c:pt idx="4">
                  <c:v>2018</c:v>
                </c:pt>
                <c:pt idx="5">
                  <c:v>2019</c:v>
                </c:pt>
                <c:pt idx="6">
                  <c:v>2020</c:v>
                </c:pt>
                <c:pt idx="7">
                  <c:v>2021</c:v>
                </c:pt>
                <c:pt idx="8">
                  <c:v>2022</c:v>
                </c:pt>
                <c:pt idx="9">
                  <c:v>2023</c:v>
                </c:pt>
                <c:pt idx="10">
                  <c:v>2024</c:v>
                </c:pt>
              </c:numCache>
              <c:extLst/>
            </c:numRef>
          </c:cat>
          <c:val>
            <c:numRef>
              <c:f>[Charts_2024.xlsx]Գ7!$B$34:$Z$34</c:f>
              <c:numCache>
                <c:formatCode>_(* #,##0.0_);_(* \(#,##0.0\);_(* "-"??_);_(@_)</c:formatCode>
                <c:ptCount val="11"/>
                <c:pt idx="0">
                  <c:v>289.88955699999997</c:v>
                </c:pt>
                <c:pt idx="1">
                  <c:v>320.76578100000006</c:v>
                </c:pt>
                <c:pt idx="2">
                  <c:v>508.33326899999997</c:v>
                </c:pt>
                <c:pt idx="3">
                  <c:v>549.73017000000004</c:v>
                </c:pt>
                <c:pt idx="4">
                  <c:v>588.11148800000001</c:v>
                </c:pt>
                <c:pt idx="5">
                  <c:v>681.04996899999958</c:v>
                </c:pt>
                <c:pt idx="6">
                  <c:v>958.83393600000193</c:v>
                </c:pt>
                <c:pt idx="7">
                  <c:v>1214.2409150000001</c:v>
                </c:pt>
                <c:pt idx="8">
                  <c:v>1505.4167054765235</c:v>
                </c:pt>
                <c:pt idx="9">
                  <c:v>2100.0375731605004</c:v>
                </c:pt>
                <c:pt idx="10">
                  <c:v>2483.5719031214012</c:v>
                </c:pt>
              </c:numCache>
              <c:extLst/>
            </c:numRef>
          </c:val>
          <c:extLst>
            <c:ext xmlns:c16="http://schemas.microsoft.com/office/drawing/2014/chart" uri="{C3380CC4-5D6E-409C-BE32-E72D297353CC}">
              <c16:uniqueId val="{00000000-AF3B-45DA-8BF4-57054C44235E}"/>
            </c:ext>
          </c:extLst>
        </c:ser>
        <c:ser>
          <c:idx val="1"/>
          <c:order val="1"/>
          <c:tx>
            <c:strRef>
              <c:f>[Charts_2024.xlsx]Գ7!$A$35</c:f>
              <c:strCache>
                <c:ptCount val="1"/>
                <c:pt idx="0">
                  <c:v>արտարժույթով</c:v>
                </c:pt>
              </c:strCache>
            </c:strRef>
          </c:tx>
          <c:spPr>
            <a:solidFill>
              <a:schemeClr val="accent2"/>
            </a:solidFill>
            <a:ln>
              <a:noFill/>
            </a:ln>
            <a:effectLst/>
          </c:spPr>
          <c:invertIfNegative val="0"/>
          <c:cat>
            <c:numRef>
              <c:f>[Charts_2024.xlsx]Գ7!$B$24:$Z$24</c:f>
              <c:numCache>
                <c:formatCode>0</c:formatCode>
                <c:ptCount val="11"/>
                <c:pt idx="0">
                  <c:v>2014</c:v>
                </c:pt>
                <c:pt idx="1">
                  <c:v>2015</c:v>
                </c:pt>
                <c:pt idx="2">
                  <c:v>2016</c:v>
                </c:pt>
                <c:pt idx="3">
                  <c:v>2017</c:v>
                </c:pt>
                <c:pt idx="4">
                  <c:v>2018</c:v>
                </c:pt>
                <c:pt idx="5">
                  <c:v>2019</c:v>
                </c:pt>
                <c:pt idx="6">
                  <c:v>2020</c:v>
                </c:pt>
                <c:pt idx="7">
                  <c:v>2021</c:v>
                </c:pt>
                <c:pt idx="8">
                  <c:v>2022</c:v>
                </c:pt>
                <c:pt idx="9">
                  <c:v>2023</c:v>
                </c:pt>
                <c:pt idx="10">
                  <c:v>2024</c:v>
                </c:pt>
              </c:numCache>
              <c:extLst/>
            </c:numRef>
          </c:cat>
          <c:val>
            <c:numRef>
              <c:f>[Charts_2024.xlsx]Գ7!$B$35:$Z$35</c:f>
              <c:numCache>
                <c:formatCode>_(* #,##0.0_);_(* \(#,##0.0\);_(* "-"??_);_(@_)</c:formatCode>
                <c:ptCount val="11"/>
                <c:pt idx="0">
                  <c:v>1610.7366341209047</c:v>
                </c:pt>
                <c:pt idx="1">
                  <c:v>1905.1404008606455</c:v>
                </c:pt>
                <c:pt idx="2">
                  <c:v>2123.0566786206405</c:v>
                </c:pt>
                <c:pt idx="3">
                  <c:v>2438.6494578717347</c:v>
                </c:pt>
                <c:pt idx="4">
                  <c:v>2494.4010847655622</c:v>
                </c:pt>
                <c:pt idx="5">
                  <c:v>2596.2314079668863</c:v>
                </c:pt>
                <c:pt idx="6">
                  <c:v>2965.05513111752</c:v>
                </c:pt>
                <c:pt idx="7">
                  <c:v>2995.5969934366835</c:v>
                </c:pt>
                <c:pt idx="8">
                  <c:v>2464.269456222085</c:v>
                </c:pt>
                <c:pt idx="9">
                  <c:v>2471.9082574481495</c:v>
                </c:pt>
                <c:pt idx="10">
                  <c:v>2409.2754045763882</c:v>
                </c:pt>
              </c:numCache>
              <c:extLst/>
            </c:numRef>
          </c:val>
          <c:extLst>
            <c:ext xmlns:c16="http://schemas.microsoft.com/office/drawing/2014/chart" uri="{C3380CC4-5D6E-409C-BE32-E72D297353CC}">
              <c16:uniqueId val="{00000001-AF3B-45DA-8BF4-57054C44235E}"/>
            </c:ext>
          </c:extLst>
        </c:ser>
        <c:dLbls>
          <c:showLegendKey val="0"/>
          <c:showVal val="0"/>
          <c:showCatName val="0"/>
          <c:showSerName val="0"/>
          <c:showPercent val="0"/>
          <c:showBubbleSize val="0"/>
        </c:dLbls>
        <c:gapWidth val="150"/>
        <c:overlap val="100"/>
        <c:axId val="1898287615"/>
        <c:axId val="1898294271"/>
      </c:barChart>
      <c:catAx>
        <c:axId val="1898287615"/>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crossAx val="1898294271"/>
        <c:crosses val="autoZero"/>
        <c:auto val="1"/>
        <c:lblAlgn val="ctr"/>
        <c:lblOffset val="100"/>
        <c:noMultiLvlLbl val="0"/>
      </c:catAx>
      <c:valAx>
        <c:axId val="189829427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crossAx val="1898287615"/>
        <c:crosses val="autoZero"/>
        <c:crossBetween val="between"/>
      </c:valAx>
      <c:spPr>
        <a:noFill/>
        <a:ln>
          <a:noFill/>
        </a:ln>
        <a:effectLst/>
      </c:spPr>
    </c:plotArea>
    <c:legend>
      <c:legendPos val="b"/>
      <c:layout>
        <c:manualLayout>
          <c:xMode val="edge"/>
          <c:yMode val="edge"/>
          <c:x val="0.35099852079240401"/>
          <c:y val="0.88825857878876247"/>
          <c:w val="0.29800280997489137"/>
          <c:h val="8.2111791581607849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0"/>
            </a:pPr>
            <a:r>
              <a:rPr lang="hy-AM" sz="1000" b="0"/>
              <a:t>Ծախսերը</a:t>
            </a:r>
            <a:endParaRPr lang="en-US" sz="1000" b="0"/>
          </a:p>
        </c:rich>
      </c:tx>
      <c:layout>
        <c:manualLayout>
          <c:xMode val="edge"/>
          <c:yMode val="edge"/>
          <c:x val="0.36872118808235077"/>
          <c:y val="0"/>
        </c:manualLayout>
      </c:layout>
      <c:overlay val="0"/>
    </c:title>
    <c:autoTitleDeleted val="0"/>
    <c:plotArea>
      <c:layout>
        <c:manualLayout>
          <c:layoutTarget val="inner"/>
          <c:xMode val="edge"/>
          <c:yMode val="edge"/>
          <c:x val="9.2032333167656355E-2"/>
          <c:y val="0.10008976551580447"/>
          <c:w val="0.80446595338373406"/>
          <c:h val="0.7052478969346031"/>
        </c:manualLayout>
      </c:layout>
      <c:barChart>
        <c:barDir val="col"/>
        <c:grouping val="clustered"/>
        <c:varyColors val="0"/>
        <c:ser>
          <c:idx val="0"/>
          <c:order val="0"/>
          <c:tx>
            <c:strRef>
              <c:f>Sheet1!$B$1</c:f>
              <c:strCache>
                <c:ptCount val="1"/>
                <c:pt idx="0">
                  <c:v>մլրդ դրամ</c:v>
                </c:pt>
              </c:strCache>
            </c:strRef>
          </c:tx>
          <c:spPr>
            <a:ln w="28575" cap="rnd">
              <a:solidFill>
                <a:schemeClr val="accent1"/>
              </a:solidFill>
              <a:round/>
            </a:ln>
            <a:effectLst/>
          </c:spPr>
          <c:invertIfNegative val="0"/>
          <c:dLbls>
            <c:dLbl>
              <c:idx val="0"/>
              <c:layout>
                <c:manualLayout>
                  <c:x val="4.1511000415109627E-3"/>
                  <c:y val="0.2800090286398874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16B-4D9A-B692-B02DCC2E0DFC}"/>
                </c:ext>
              </c:extLst>
            </c:dLbl>
            <c:dLbl>
              <c:idx val="1"/>
              <c:layout>
                <c:manualLayout>
                  <c:x val="-3.8051310808527998E-17"/>
                  <c:y val="0.2880893140838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16B-4D9A-B692-B02DCC2E0DFC}"/>
                </c:ext>
              </c:extLst>
            </c:dLbl>
            <c:dLbl>
              <c:idx val="2"/>
              <c:layout>
                <c:manualLayout>
                  <c:x val="0"/>
                  <c:y val="0.3034463360216686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16B-4D9A-B692-B02DCC2E0DFC}"/>
                </c:ext>
              </c:extLst>
            </c:dLbl>
            <c:dLbl>
              <c:idx val="3"/>
              <c:layout>
                <c:manualLayout>
                  <c:x val="3.9215686274509083E-3"/>
                  <c:y val="0.308085769854307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16B-4D9A-B692-B02DCC2E0DFC}"/>
                </c:ext>
              </c:extLst>
            </c:dLbl>
            <c:dLbl>
              <c:idx val="4"/>
              <c:layout>
                <c:manualLayout>
                  <c:x val="4.1511000415110008E-3"/>
                  <c:y val="0.2775560166335327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16B-4D9A-B692-B02DCC2E0DFC}"/>
                </c:ext>
              </c:extLst>
            </c:dLbl>
            <c:spPr>
              <a:noFill/>
              <a:ln w="25400">
                <a:noFill/>
              </a:ln>
            </c:spPr>
            <c:txPr>
              <a:bodyPr wrap="square" lIns="38100" tIns="19050" rIns="38100" bIns="19050" anchor="ctr">
                <a:spAutoFit/>
              </a:bodyPr>
              <a:lstStyle/>
              <a:p>
                <a:pPr>
                  <a:defRPr sz="900"/>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2020</c:v>
                </c:pt>
                <c:pt idx="1">
                  <c:v>2021</c:v>
                </c:pt>
                <c:pt idx="2">
                  <c:v>2022</c:v>
                </c:pt>
                <c:pt idx="3">
                  <c:v>2023</c:v>
                </c:pt>
                <c:pt idx="4">
                  <c:v>2024</c:v>
                </c:pt>
              </c:numCache>
            </c:numRef>
          </c:cat>
          <c:val>
            <c:numRef>
              <c:f>Sheet1!$B$2:$B$6</c:f>
              <c:numCache>
                <c:formatCode>#,##0.0</c:formatCode>
                <c:ptCount val="5"/>
                <c:pt idx="0">
                  <c:v>1907.9921401199999</c:v>
                </c:pt>
                <c:pt idx="1">
                  <c:v>2027.0433564699997</c:v>
                </c:pt>
                <c:pt idx="2">
                  <c:v>2279.1264290921995</c:v>
                </c:pt>
                <c:pt idx="3">
                  <c:v>2599.5962710530002</c:v>
                </c:pt>
                <c:pt idx="4">
                  <c:v>2955.3188979900001</c:v>
                </c:pt>
              </c:numCache>
            </c:numRef>
          </c:val>
          <c:extLst>
            <c:ext xmlns:c16="http://schemas.microsoft.com/office/drawing/2014/chart" uri="{C3380CC4-5D6E-409C-BE32-E72D297353CC}">
              <c16:uniqueId val="{00000005-516B-4D9A-B692-B02DCC2E0DFC}"/>
            </c:ext>
          </c:extLst>
        </c:ser>
        <c:dLbls>
          <c:showLegendKey val="0"/>
          <c:showVal val="0"/>
          <c:showCatName val="0"/>
          <c:showSerName val="0"/>
          <c:showPercent val="0"/>
          <c:showBubbleSize val="0"/>
        </c:dLbls>
        <c:gapWidth val="150"/>
        <c:axId val="-1366348480"/>
        <c:axId val="-1366339232"/>
      </c:barChart>
      <c:lineChart>
        <c:grouping val="standard"/>
        <c:varyColors val="0"/>
        <c:ser>
          <c:idx val="1"/>
          <c:order val="1"/>
          <c:tx>
            <c:strRef>
              <c:f>Sheet1!$C$1</c:f>
              <c:strCache>
                <c:ptCount val="1"/>
                <c:pt idx="0">
                  <c:v>% ՀՆԱ-ում</c:v>
                </c:pt>
              </c:strCache>
            </c:strRef>
          </c:tx>
          <c:marker>
            <c:symbol val="square"/>
            <c:size val="7"/>
          </c:marker>
          <c:dLbls>
            <c:spPr>
              <a:noFill/>
              <a:ln w="25400">
                <a:noFill/>
              </a:ln>
            </c:spPr>
            <c:txPr>
              <a:bodyPr/>
              <a:lstStyle/>
              <a:p>
                <a:pPr>
                  <a:defRPr sz="1000" b="1"/>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2020</c:v>
                </c:pt>
                <c:pt idx="1">
                  <c:v>2021</c:v>
                </c:pt>
                <c:pt idx="2">
                  <c:v>2022</c:v>
                </c:pt>
                <c:pt idx="3">
                  <c:v>2023</c:v>
                </c:pt>
                <c:pt idx="4">
                  <c:v>2024</c:v>
                </c:pt>
              </c:numCache>
            </c:numRef>
          </c:cat>
          <c:val>
            <c:numRef>
              <c:f>Sheet1!$C$2:$C$6</c:f>
              <c:numCache>
                <c:formatCode>0.0</c:formatCode>
                <c:ptCount val="5"/>
                <c:pt idx="0">
                  <c:v>30.864157259934828</c:v>
                </c:pt>
                <c:pt idx="1">
                  <c:v>28.991816022385606</c:v>
                </c:pt>
                <c:pt idx="2">
                  <c:v>26.808680753804172</c:v>
                </c:pt>
                <c:pt idx="3">
                  <c:v>27.499715926691309</c:v>
                </c:pt>
                <c:pt idx="4">
                  <c:v>29.182092277070332</c:v>
                </c:pt>
              </c:numCache>
            </c:numRef>
          </c:val>
          <c:smooth val="0"/>
          <c:extLst>
            <c:ext xmlns:c16="http://schemas.microsoft.com/office/drawing/2014/chart" uri="{C3380CC4-5D6E-409C-BE32-E72D297353CC}">
              <c16:uniqueId val="{00000006-516B-4D9A-B692-B02DCC2E0DFC}"/>
            </c:ext>
          </c:extLst>
        </c:ser>
        <c:dLbls>
          <c:showLegendKey val="0"/>
          <c:showVal val="0"/>
          <c:showCatName val="0"/>
          <c:showSerName val="0"/>
          <c:showPercent val="0"/>
          <c:showBubbleSize val="0"/>
        </c:dLbls>
        <c:marker val="1"/>
        <c:smooth val="0"/>
        <c:axId val="-1366347392"/>
        <c:axId val="-1366347936"/>
      </c:lineChart>
      <c:catAx>
        <c:axId val="-1366348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sz="900"/>
            </a:pPr>
            <a:endParaRPr lang="en-US"/>
          </a:p>
        </c:txPr>
        <c:crossAx val="-1366339232"/>
        <c:crosses val="autoZero"/>
        <c:auto val="1"/>
        <c:lblAlgn val="ctr"/>
        <c:lblOffset val="100"/>
        <c:noMultiLvlLbl val="0"/>
      </c:catAx>
      <c:valAx>
        <c:axId val="-1366339232"/>
        <c:scaling>
          <c:orientation val="minMax"/>
        </c:scaling>
        <c:delete val="0"/>
        <c:axPos val="l"/>
        <c:numFmt formatCode="#,##0.0" sourceLinked="1"/>
        <c:majorTickMark val="none"/>
        <c:minorTickMark val="none"/>
        <c:tickLblPos val="nextTo"/>
        <c:spPr>
          <a:ln w="9525">
            <a:noFill/>
          </a:ln>
        </c:spPr>
        <c:txPr>
          <a:bodyPr rot="-60000000" vert="horz"/>
          <a:lstStyle/>
          <a:p>
            <a:pPr>
              <a:defRPr sz="900"/>
            </a:pPr>
            <a:endParaRPr lang="en-US"/>
          </a:p>
        </c:txPr>
        <c:crossAx val="-1366348480"/>
        <c:crosses val="autoZero"/>
        <c:crossBetween val="between"/>
      </c:valAx>
      <c:catAx>
        <c:axId val="-1366347392"/>
        <c:scaling>
          <c:orientation val="minMax"/>
        </c:scaling>
        <c:delete val="1"/>
        <c:axPos val="b"/>
        <c:numFmt formatCode="General" sourceLinked="1"/>
        <c:majorTickMark val="out"/>
        <c:minorTickMark val="none"/>
        <c:tickLblPos val="nextTo"/>
        <c:crossAx val="-1366347936"/>
        <c:crosses val="autoZero"/>
        <c:auto val="1"/>
        <c:lblAlgn val="ctr"/>
        <c:lblOffset val="100"/>
        <c:noMultiLvlLbl val="0"/>
      </c:catAx>
      <c:valAx>
        <c:axId val="-1366347936"/>
        <c:scaling>
          <c:orientation val="minMax"/>
        </c:scaling>
        <c:delete val="0"/>
        <c:axPos val="r"/>
        <c:numFmt formatCode="0.0" sourceLinked="1"/>
        <c:majorTickMark val="out"/>
        <c:minorTickMark val="none"/>
        <c:tickLblPos val="nextTo"/>
        <c:txPr>
          <a:bodyPr/>
          <a:lstStyle/>
          <a:p>
            <a:pPr>
              <a:defRPr sz="900"/>
            </a:pPr>
            <a:endParaRPr lang="en-US"/>
          </a:p>
        </c:txPr>
        <c:crossAx val="-1366347392"/>
        <c:crosses val="max"/>
        <c:crossBetween val="between"/>
      </c:valAx>
      <c:spPr>
        <a:solidFill>
          <a:schemeClr val="bg1"/>
        </a:solidFill>
        <a:ln>
          <a:solidFill>
            <a:sysClr val="window" lastClr="FFFFFF">
              <a:lumMod val="75000"/>
            </a:sysClr>
          </a:solidFill>
        </a:ln>
        <a:effectLst/>
      </c:spPr>
    </c:plotArea>
    <c:legend>
      <c:legendPos val="b"/>
      <c:layout>
        <c:manualLayout>
          <c:xMode val="edge"/>
          <c:yMode val="edge"/>
          <c:x val="0"/>
          <c:y val="0.90373715975282143"/>
          <c:w val="0.99706158658396382"/>
          <c:h val="8.8326772802859055E-2"/>
        </c:manualLayout>
      </c:layout>
      <c:overlay val="0"/>
      <c:spPr>
        <a:noFill/>
        <a:ln w="25400">
          <a:noFill/>
        </a:ln>
      </c:spPr>
      <c:txPr>
        <a:bodyPr rot="0" vert="horz"/>
        <a:lstStyle/>
        <a:p>
          <a:pPr>
            <a:defRPr/>
          </a:pPr>
          <a:endParaRPr lang="en-US"/>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3" b="0" i="0" u="none" strike="noStrike" kern="1200" spc="0" baseline="0">
                <a:solidFill>
                  <a:sysClr val="windowText" lastClr="000000"/>
                </a:solidFill>
                <a:latin typeface="GHEA Grapalat" panose="02000506050000020003" pitchFamily="50" charset="0"/>
                <a:ea typeface="+mn-ea"/>
                <a:cs typeface="+mn-cs"/>
              </a:defRPr>
            </a:pPr>
            <a:r>
              <a:rPr lang="hy-AM" sz="1003" b="0" baseline="0">
                <a:solidFill>
                  <a:sysClr val="windowText" lastClr="000000"/>
                </a:solidFill>
                <a:latin typeface="GHEA Grapalat" panose="02000506050000020003" pitchFamily="50" charset="0"/>
              </a:rPr>
              <a:t>Հարկատեսակների կշիռը ՀՆԱ-ում, </a:t>
            </a:r>
            <a:r>
              <a:rPr lang="ru-RU" sz="1003" b="0" baseline="0">
                <a:solidFill>
                  <a:sysClr val="windowText" lastClr="000000"/>
                </a:solidFill>
                <a:latin typeface="GHEA Grapalat" panose="02000506050000020003" pitchFamily="50" charset="0"/>
              </a:rPr>
              <a:t>%</a:t>
            </a:r>
            <a:endParaRPr lang="en-US" sz="1000" b="0">
              <a:solidFill>
                <a:sysClr val="windowText" lastClr="000000"/>
              </a:solidFill>
              <a:latin typeface="GHEA Grapalat" panose="02000506050000020003" pitchFamily="50" charset="0"/>
            </a:endParaRPr>
          </a:p>
        </c:rich>
      </c:tx>
      <c:overlay val="0"/>
      <c:spPr>
        <a:noFill/>
        <a:ln w="25464">
          <a:noFill/>
        </a:ln>
      </c:spPr>
    </c:title>
    <c:autoTitleDeleted val="0"/>
    <c:plotArea>
      <c:layout>
        <c:manualLayout>
          <c:layoutTarget val="inner"/>
          <c:xMode val="edge"/>
          <c:yMode val="edge"/>
          <c:x val="0.1119659006331809"/>
          <c:y val="0.11262613484789812"/>
          <c:w val="0.78453242443506488"/>
          <c:h val="0.64769189527795179"/>
        </c:manualLayout>
      </c:layout>
      <c:barChart>
        <c:barDir val="col"/>
        <c:grouping val="stacked"/>
        <c:varyColors val="0"/>
        <c:ser>
          <c:idx val="1"/>
          <c:order val="1"/>
          <c:tx>
            <c:strRef>
              <c:f>Sheet1!$A$3</c:f>
              <c:strCache>
                <c:ptCount val="1"/>
                <c:pt idx="0">
                  <c:v>ավելացված արժեքի հարկ</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Sheet1!$B$3:$C$3</c:f>
              <c:numCache>
                <c:formatCode>0.0</c:formatCode>
                <c:ptCount val="2"/>
                <c:pt idx="0">
                  <c:v>8.1155115392870663</c:v>
                </c:pt>
                <c:pt idx="1">
                  <c:v>7.4637589418773116</c:v>
                </c:pt>
              </c:numCache>
            </c:numRef>
          </c:val>
          <c:extLst>
            <c:ext xmlns:c16="http://schemas.microsoft.com/office/drawing/2014/chart" uri="{C3380CC4-5D6E-409C-BE32-E72D297353CC}">
              <c16:uniqueId val="{00000000-0D46-49B2-A30D-004F771665FD}"/>
            </c:ext>
          </c:extLst>
        </c:ser>
        <c:ser>
          <c:idx val="2"/>
          <c:order val="2"/>
          <c:tx>
            <c:strRef>
              <c:f>Sheet1!$A$4</c:f>
              <c:strCache>
                <c:ptCount val="1"/>
                <c:pt idx="0">
                  <c:v>ակցիզային հարկ</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Sheet1!$B$4:$C$4</c:f>
              <c:numCache>
                <c:formatCode>0.0</c:formatCode>
                <c:ptCount val="2"/>
                <c:pt idx="0">
                  <c:v>1.5809082601454014</c:v>
                </c:pt>
                <c:pt idx="1">
                  <c:v>1.4470753139335855</c:v>
                </c:pt>
              </c:numCache>
            </c:numRef>
          </c:val>
          <c:extLst>
            <c:ext xmlns:c16="http://schemas.microsoft.com/office/drawing/2014/chart" uri="{C3380CC4-5D6E-409C-BE32-E72D297353CC}">
              <c16:uniqueId val="{00000001-0D46-49B2-A30D-004F771665FD}"/>
            </c:ext>
          </c:extLst>
        </c:ser>
        <c:ser>
          <c:idx val="3"/>
          <c:order val="3"/>
          <c:tx>
            <c:strRef>
              <c:f>Sheet1!$A$5</c:f>
              <c:strCache>
                <c:ptCount val="1"/>
                <c:pt idx="0">
                  <c:v>եկամտային հարկ</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Sheet1!$B$5:$C$5</c:f>
              <c:numCache>
                <c:formatCode>0.0</c:formatCode>
                <c:ptCount val="2"/>
                <c:pt idx="0">
                  <c:v>6.4156616831699429</c:v>
                </c:pt>
                <c:pt idx="1">
                  <c:v>6.4191496304706535</c:v>
                </c:pt>
              </c:numCache>
            </c:numRef>
          </c:val>
          <c:extLst>
            <c:ext xmlns:c16="http://schemas.microsoft.com/office/drawing/2014/chart" uri="{C3380CC4-5D6E-409C-BE32-E72D297353CC}">
              <c16:uniqueId val="{00000002-0D46-49B2-A30D-004F771665FD}"/>
            </c:ext>
          </c:extLst>
        </c:ser>
        <c:ser>
          <c:idx val="4"/>
          <c:order val="4"/>
          <c:tx>
            <c:strRef>
              <c:f>Sheet1!$A$6</c:f>
              <c:strCache>
                <c:ptCount val="1"/>
                <c:pt idx="0">
                  <c:v>շահութահարկ</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Sheet1!$B$6:$C$6</c:f>
              <c:numCache>
                <c:formatCode>0.0</c:formatCode>
                <c:ptCount val="2"/>
                <c:pt idx="0">
                  <c:v>3.4011926545250684</c:v>
                </c:pt>
                <c:pt idx="1">
                  <c:v>3.3149906626887589</c:v>
                </c:pt>
              </c:numCache>
            </c:numRef>
          </c:val>
          <c:extLst>
            <c:ext xmlns:c16="http://schemas.microsoft.com/office/drawing/2014/chart" uri="{C3380CC4-5D6E-409C-BE32-E72D297353CC}">
              <c16:uniqueId val="{00000003-0D46-49B2-A30D-004F771665FD}"/>
            </c:ext>
          </c:extLst>
        </c:ser>
        <c:ser>
          <c:idx val="5"/>
          <c:order val="5"/>
          <c:tx>
            <c:strRef>
              <c:f>Sheet1!$A$7</c:f>
              <c:strCache>
                <c:ptCount val="1"/>
                <c:pt idx="0">
                  <c:v>մաքսատուրք</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Sheet1!$B$7:$C$7</c:f>
              <c:numCache>
                <c:formatCode>0.0</c:formatCode>
                <c:ptCount val="2"/>
                <c:pt idx="0">
                  <c:v>0.79641284714500704</c:v>
                </c:pt>
                <c:pt idx="1">
                  <c:v>0.75209617796426143</c:v>
                </c:pt>
              </c:numCache>
            </c:numRef>
          </c:val>
          <c:extLst>
            <c:ext xmlns:c16="http://schemas.microsoft.com/office/drawing/2014/chart" uri="{C3380CC4-5D6E-409C-BE32-E72D297353CC}">
              <c16:uniqueId val="{00000004-0D46-49B2-A30D-004F771665FD}"/>
            </c:ext>
          </c:extLst>
        </c:ser>
        <c:ser>
          <c:idx val="6"/>
          <c:order val="6"/>
          <c:tx>
            <c:strRef>
              <c:f>Sheet1!$A$8</c:f>
              <c:strCache>
                <c:ptCount val="1"/>
                <c:pt idx="0">
                  <c:v>այլ հարկային եկամուտներ</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Sheet1!$B$8:$C$8</c:f>
              <c:numCache>
                <c:formatCode>0.0</c:formatCode>
                <c:ptCount val="2"/>
                <c:pt idx="0">
                  <c:v>3.0308566079819776</c:v>
                </c:pt>
                <c:pt idx="1">
                  <c:v>3.4171359517375022</c:v>
                </c:pt>
              </c:numCache>
            </c:numRef>
          </c:val>
          <c:extLst>
            <c:ext xmlns:c16="http://schemas.microsoft.com/office/drawing/2014/chart" uri="{C3380CC4-5D6E-409C-BE32-E72D297353CC}">
              <c16:uniqueId val="{00000005-0D46-49B2-A30D-004F771665FD}"/>
            </c:ext>
          </c:extLst>
        </c:ser>
        <c:ser>
          <c:idx val="7"/>
          <c:order val="7"/>
          <c:tx>
            <c:strRef>
              <c:f>Sheet1!$A$9</c:f>
              <c:strCache>
                <c:ptCount val="1"/>
                <c:pt idx="0">
                  <c:v>պետական տուրք</c:v>
                </c:pt>
              </c:strCache>
            </c:strRef>
          </c:tx>
          <c:invertIfNegative val="0"/>
          <c:dLbls>
            <c:spPr>
              <a:noFill/>
              <a:ln w="25464">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Sheet1!$B$9:$C$9</c:f>
              <c:numCache>
                <c:formatCode>0.0</c:formatCode>
                <c:ptCount val="2"/>
                <c:pt idx="0">
                  <c:v>0.71350400507342804</c:v>
                </c:pt>
                <c:pt idx="1">
                  <c:v>0.79452034705978292</c:v>
                </c:pt>
              </c:numCache>
            </c:numRef>
          </c:val>
          <c:extLst>
            <c:ext xmlns:c16="http://schemas.microsoft.com/office/drawing/2014/chart" uri="{C3380CC4-5D6E-409C-BE32-E72D297353CC}">
              <c16:uniqueId val="{00000006-0D46-49B2-A30D-004F771665FD}"/>
            </c:ext>
          </c:extLst>
        </c:ser>
        <c:dLbls>
          <c:showLegendKey val="0"/>
          <c:showVal val="0"/>
          <c:showCatName val="0"/>
          <c:showSerName val="0"/>
          <c:showPercent val="0"/>
          <c:showBubbleSize val="0"/>
        </c:dLbls>
        <c:gapWidth val="150"/>
        <c:overlap val="100"/>
        <c:axId val="-1366350656"/>
        <c:axId val="-1366345760"/>
      </c:barChart>
      <c:lineChart>
        <c:grouping val="standard"/>
        <c:varyColors val="0"/>
        <c:ser>
          <c:idx val="0"/>
          <c:order val="0"/>
          <c:tx>
            <c:strRef>
              <c:f>Sheet1!$A$2</c:f>
              <c:strCache>
                <c:ptCount val="1"/>
                <c:pt idx="0">
                  <c:v>Հարկային եկամուտներ և տուրքեր</c:v>
                </c:pt>
              </c:strCache>
            </c:strRef>
          </c:tx>
          <c:spPr>
            <a:ln>
              <a:noFill/>
            </a:ln>
          </c:spPr>
          <c:marker>
            <c:symbol val="square"/>
            <c:size val="10"/>
          </c:marker>
          <c:dLbls>
            <c:spPr>
              <a:noFill/>
              <a:ln w="25464">
                <a:noFill/>
              </a:ln>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2023</c:v>
                </c:pt>
                <c:pt idx="1">
                  <c:v>2024</c:v>
                </c:pt>
              </c:strCache>
            </c:strRef>
          </c:cat>
          <c:val>
            <c:numRef>
              <c:f>Sheet1!$B$2:$C$2</c:f>
              <c:numCache>
                <c:formatCode>0.0</c:formatCode>
                <c:ptCount val="2"/>
                <c:pt idx="0">
                  <c:v>24.054047597327891</c:v>
                </c:pt>
                <c:pt idx="1">
                  <c:v>23.608727025731856</c:v>
                </c:pt>
              </c:numCache>
            </c:numRef>
          </c:val>
          <c:smooth val="0"/>
          <c:extLst>
            <c:ext xmlns:c16="http://schemas.microsoft.com/office/drawing/2014/chart" uri="{C3380CC4-5D6E-409C-BE32-E72D297353CC}">
              <c16:uniqueId val="{00000007-0D46-49B2-A30D-004F771665FD}"/>
            </c:ext>
          </c:extLst>
        </c:ser>
        <c:dLbls>
          <c:showLegendKey val="0"/>
          <c:showVal val="0"/>
          <c:showCatName val="0"/>
          <c:showSerName val="0"/>
          <c:showPercent val="0"/>
          <c:showBubbleSize val="0"/>
        </c:dLbls>
        <c:marker val="1"/>
        <c:smooth val="0"/>
        <c:axId val="-1366350656"/>
        <c:axId val="-1366345760"/>
      </c:lineChart>
      <c:catAx>
        <c:axId val="-1366350656"/>
        <c:scaling>
          <c:orientation val="minMax"/>
        </c:scaling>
        <c:delete val="0"/>
        <c:axPos val="b"/>
        <c:numFmt formatCode="General" sourceLinked="1"/>
        <c:majorTickMark val="none"/>
        <c:minorTickMark val="none"/>
        <c:tickLblPos val="nextTo"/>
        <c:spPr>
          <a:noFill/>
          <a:ln w="9549" cap="flat" cmpd="sng" algn="ctr">
            <a:solidFill>
              <a:schemeClr val="tx1">
                <a:lumMod val="15000"/>
                <a:lumOff val="85000"/>
              </a:schemeClr>
            </a:solidFill>
            <a:round/>
          </a:ln>
          <a:effectLst/>
        </c:spPr>
        <c:txPr>
          <a:bodyPr rot="-60000000" spcFirstLastPara="1" vertOverflow="ellipsis" vert="horz" wrap="square" anchor="ctr" anchorCtr="1"/>
          <a:lstStyle/>
          <a:p>
            <a:pPr>
              <a:defRPr sz="902" b="1" i="0" u="none" strike="noStrike" kern="1200" baseline="0">
                <a:solidFill>
                  <a:sysClr val="windowText" lastClr="000000"/>
                </a:solidFill>
                <a:latin typeface="GHEA Grapalat" pitchFamily="50" charset="0"/>
                <a:ea typeface="+mn-ea"/>
                <a:cs typeface="+mn-cs"/>
              </a:defRPr>
            </a:pPr>
            <a:endParaRPr lang="en-US"/>
          </a:p>
        </c:txPr>
        <c:crossAx val="-1366345760"/>
        <c:crosses val="autoZero"/>
        <c:auto val="1"/>
        <c:lblAlgn val="ctr"/>
        <c:lblOffset val="100"/>
        <c:noMultiLvlLbl val="0"/>
      </c:catAx>
      <c:valAx>
        <c:axId val="-1366345760"/>
        <c:scaling>
          <c:orientation val="minMax"/>
        </c:scaling>
        <c:delete val="0"/>
        <c:axPos val="l"/>
        <c:numFmt formatCode="0.0" sourceLinked="1"/>
        <c:majorTickMark val="none"/>
        <c:minorTickMark val="none"/>
        <c:tickLblPos val="nextTo"/>
        <c:spPr>
          <a:ln w="9549">
            <a:noFill/>
          </a:ln>
        </c:spPr>
        <c:txPr>
          <a:bodyPr rot="-60000000" spcFirstLastPara="1" vertOverflow="ellipsis" vert="horz" wrap="square" anchor="ctr" anchorCtr="1"/>
          <a:lstStyle/>
          <a:p>
            <a:pPr>
              <a:defRPr sz="802" b="0" i="0" u="none" strike="noStrike" kern="1200" baseline="0">
                <a:solidFill>
                  <a:sysClr val="windowText" lastClr="000000"/>
                </a:solidFill>
                <a:latin typeface="GHEA Grapalat" pitchFamily="50" charset="0"/>
                <a:ea typeface="+mn-ea"/>
                <a:cs typeface="+mn-cs"/>
              </a:defRPr>
            </a:pPr>
            <a:endParaRPr lang="en-US"/>
          </a:p>
        </c:txPr>
        <c:crossAx val="-1366350656"/>
        <c:crosses val="autoZero"/>
        <c:crossBetween val="between"/>
      </c:valAx>
      <c:spPr>
        <a:solidFill>
          <a:schemeClr val="bg1"/>
        </a:solidFill>
        <a:ln>
          <a:solidFill>
            <a:sysClr val="window" lastClr="FFFFFF">
              <a:lumMod val="75000"/>
            </a:sysClr>
          </a:solidFill>
        </a:ln>
        <a:effectLst/>
      </c:spPr>
    </c:plotArea>
    <c:legend>
      <c:legendPos val="b"/>
      <c:layout>
        <c:manualLayout>
          <c:xMode val="edge"/>
          <c:yMode val="edge"/>
          <c:x val="0"/>
          <c:y val="0.83046761521123036"/>
          <c:w val="1"/>
          <c:h val="0.16953238478876953"/>
        </c:manualLayout>
      </c:layout>
      <c:overlay val="0"/>
      <c:spPr>
        <a:noFill/>
        <a:ln w="25464">
          <a:noFill/>
        </a:ln>
      </c:spPr>
      <c:txPr>
        <a:bodyPr rot="0" spcFirstLastPara="1" vertOverflow="ellipsis" vert="horz" wrap="square" anchor="ctr" anchorCtr="1"/>
        <a:lstStyle/>
        <a:p>
          <a:pPr>
            <a:defRPr sz="800" b="0" i="0" u="none" strike="noStrike" kern="1200" baseline="0">
              <a:solidFill>
                <a:sysClr val="windowText" lastClr="000000"/>
              </a:solidFill>
              <a:latin typeface="GHEA Grapalat" pitchFamily="50" charset="0"/>
              <a:ea typeface="+mn-ea"/>
              <a:cs typeface="+mn-cs"/>
            </a:defRPr>
          </a:pPr>
          <a:endParaRPr lang="en-US"/>
        </a:p>
      </c:txPr>
    </c:legend>
    <c:plotVisOnly val="1"/>
    <c:dispBlanksAs val="gap"/>
    <c:showDLblsOverMax val="0"/>
  </c:chart>
  <c:spPr>
    <a:noFill/>
    <a:ln w="9549" cap="flat" cmpd="sng" algn="ctr">
      <a:solidFill>
        <a:sysClr val="window" lastClr="FFFFFF">
          <a:lumMod val="75000"/>
        </a:sysClr>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baseline="0">
                <a:solidFill>
                  <a:schemeClr val="tx1"/>
                </a:solidFill>
                <a:latin typeface="GHEA Grapalat" panose="02000506050000020003" pitchFamily="50" charset="0"/>
                <a:ea typeface="+mn-ea"/>
                <a:cs typeface="+mn-cs"/>
              </a:defRPr>
            </a:pPr>
            <a:r>
              <a:rPr lang="hy-AM" sz="1000" b="0"/>
              <a:t>ՀՆԱ-ի նկատմամբ փոփոխություն, տ.կ., 2024թ. </a:t>
            </a:r>
            <a:endParaRPr lang="en-US" sz="1000" b="0"/>
          </a:p>
        </c:rich>
      </c:tx>
      <c:layout>
        <c:manualLayout>
          <c:xMode val="edge"/>
          <c:yMode val="edge"/>
          <c:x val="0.10891488503428802"/>
          <c:y val="1.4084507042253521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7.6255357320841224E-2"/>
          <c:y val="0.135460850071462"/>
          <c:w val="0.49933884846672649"/>
          <c:h val="0.72580563167829459"/>
        </c:manualLayout>
      </c:layout>
      <c:barChart>
        <c:barDir val="bar"/>
        <c:grouping val="clustered"/>
        <c:varyColors val="0"/>
        <c:ser>
          <c:idx val="0"/>
          <c:order val="0"/>
          <c:tx>
            <c:strRef>
              <c:f>Sheet1!$B$1</c:f>
              <c:strCache>
                <c:ptCount val="1"/>
                <c:pt idx="0">
                  <c:v>2021</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Ընդամենը</c:v>
                </c:pt>
                <c:pt idx="1">
                  <c:v>ավելացված արժեքի հարկ</c:v>
                </c:pt>
                <c:pt idx="2">
                  <c:v>ակցիզային հարկ</c:v>
                </c:pt>
                <c:pt idx="3">
                  <c:v>եկամտային հարկ</c:v>
                </c:pt>
                <c:pt idx="4">
                  <c:v>շահութահարկ</c:v>
                </c:pt>
                <c:pt idx="5">
                  <c:v>մաքսատուրք</c:v>
                </c:pt>
                <c:pt idx="6">
                  <c:v>այլ հարկային եկամուտներ</c:v>
                </c:pt>
                <c:pt idx="7">
                  <c:v>պետական տուրք</c:v>
                </c:pt>
              </c:strCache>
            </c:strRef>
          </c:cat>
          <c:val>
            <c:numRef>
              <c:f>Sheet1!$B$2:$B$9</c:f>
            </c:numRef>
          </c:val>
          <c:extLst>
            <c:ext xmlns:c16="http://schemas.microsoft.com/office/drawing/2014/chart" uri="{C3380CC4-5D6E-409C-BE32-E72D297353CC}">
              <c16:uniqueId val="{00000000-1AE2-485D-9DFC-5378656EBA1E}"/>
            </c:ext>
          </c:extLst>
        </c:ser>
        <c:ser>
          <c:idx val="1"/>
          <c:order val="1"/>
          <c:tx>
            <c:strRef>
              <c:f>Sheet1!$C$1</c:f>
              <c:strCache>
                <c:ptCount val="1"/>
                <c:pt idx="0">
                  <c:v>2023</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GHEA Grapalat" panose="02000506050000020003" pitchFamily="50" charset="0"/>
                    <a:ea typeface="+mn-ea"/>
                    <a:cs typeface="+mn-cs"/>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Ընդամենը</c:v>
                </c:pt>
                <c:pt idx="1">
                  <c:v>ավելացված արժեքի հարկ</c:v>
                </c:pt>
                <c:pt idx="2">
                  <c:v>ակցիզային հարկ</c:v>
                </c:pt>
                <c:pt idx="3">
                  <c:v>եկամտային հարկ</c:v>
                </c:pt>
                <c:pt idx="4">
                  <c:v>շահութահարկ</c:v>
                </c:pt>
                <c:pt idx="5">
                  <c:v>մաքսատուրք</c:v>
                </c:pt>
                <c:pt idx="6">
                  <c:v>այլ հարկային եկամուտներ</c:v>
                </c:pt>
                <c:pt idx="7">
                  <c:v>պետական տուրք</c:v>
                </c:pt>
              </c:strCache>
            </c:strRef>
          </c:cat>
          <c:val>
            <c:numRef>
              <c:f>Sheet1!$C$2:$C$9</c:f>
            </c:numRef>
          </c:val>
          <c:extLst>
            <c:ext xmlns:c16="http://schemas.microsoft.com/office/drawing/2014/chart" uri="{C3380CC4-5D6E-409C-BE32-E72D297353CC}">
              <c16:uniqueId val="{00000001-1AE2-485D-9DFC-5378656EBA1E}"/>
            </c:ext>
          </c:extLst>
        </c:ser>
        <c:ser>
          <c:idx val="2"/>
          <c:order val="2"/>
          <c:tx>
            <c:strRef>
              <c:f>Sheet1!$D$1</c:f>
              <c:strCache>
                <c:ptCount val="1"/>
                <c:pt idx="0">
                  <c:v>2024</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spPr>
              <a:solidFill>
                <a:srgbClr val="ED7D31">
                  <a:lumMod val="75000"/>
                </a:srgb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0-9E37-4C2F-96FF-B72D77E66265}"/>
              </c:ext>
            </c:extLst>
          </c:dPt>
          <c:dLbls>
            <c:dLbl>
              <c:idx val="6"/>
              <c:layout>
                <c:manualLayout>
                  <c:x val="-3.05343511450382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AE2-485D-9DFC-5378656EBA1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Ընդամենը</c:v>
                </c:pt>
                <c:pt idx="1">
                  <c:v>ավելացված արժեքի հարկ</c:v>
                </c:pt>
                <c:pt idx="2">
                  <c:v>ակցիզային հարկ</c:v>
                </c:pt>
                <c:pt idx="3">
                  <c:v>եկամտային հարկ</c:v>
                </c:pt>
                <c:pt idx="4">
                  <c:v>շահութահարկ</c:v>
                </c:pt>
                <c:pt idx="5">
                  <c:v>մաքսատուրք</c:v>
                </c:pt>
                <c:pt idx="6">
                  <c:v>այլ հարկային եկամուտներ</c:v>
                </c:pt>
                <c:pt idx="7">
                  <c:v>պետական տուրք</c:v>
                </c:pt>
              </c:strCache>
            </c:strRef>
          </c:cat>
          <c:val>
            <c:numRef>
              <c:f>Sheet1!$D$2:$D$9</c:f>
              <c:numCache>
                <c:formatCode>0.0</c:formatCode>
                <c:ptCount val="8"/>
                <c:pt idx="0" formatCode="0.00">
                  <c:v>-0.44532057159603511</c:v>
                </c:pt>
                <c:pt idx="1">
                  <c:v>-0.65175259740975466</c:v>
                </c:pt>
                <c:pt idx="2">
                  <c:v>-0.13383294621181596</c:v>
                </c:pt>
                <c:pt idx="3">
                  <c:v>3.4879473007105588E-3</c:v>
                </c:pt>
                <c:pt idx="4">
                  <c:v>-8.6201991836309499E-2</c:v>
                </c:pt>
                <c:pt idx="5">
                  <c:v>-4.4316669180745616E-2</c:v>
                </c:pt>
                <c:pt idx="6">
                  <c:v>0.38627934375552453</c:v>
                </c:pt>
                <c:pt idx="7">
                  <c:v>8.1016341986354878E-2</c:v>
                </c:pt>
              </c:numCache>
            </c:numRef>
          </c:val>
          <c:extLst>
            <c:ext xmlns:c16="http://schemas.microsoft.com/office/drawing/2014/chart" uri="{C3380CC4-5D6E-409C-BE32-E72D297353CC}">
              <c16:uniqueId val="{00000003-1AE2-485D-9DFC-5378656EBA1E}"/>
            </c:ext>
          </c:extLst>
        </c:ser>
        <c:dLbls>
          <c:showLegendKey val="0"/>
          <c:showVal val="0"/>
          <c:showCatName val="0"/>
          <c:showSerName val="0"/>
          <c:showPercent val="0"/>
          <c:showBubbleSize val="0"/>
        </c:dLbls>
        <c:gapWidth val="115"/>
        <c:overlap val="-20"/>
        <c:axId val="-1366337056"/>
        <c:axId val="-1366344128"/>
      </c:barChart>
      <c:catAx>
        <c:axId val="-1366337056"/>
        <c:scaling>
          <c:orientation val="minMax"/>
        </c:scaling>
        <c:delete val="0"/>
        <c:axPos val="l"/>
        <c:numFmt formatCode="General" sourceLinked="1"/>
        <c:majorTickMark val="none"/>
        <c:minorTickMark val="none"/>
        <c:tickLblPos val="high"/>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GHEA Grapalat" panose="02000506050000020003" pitchFamily="50" charset="0"/>
                <a:ea typeface="+mn-ea"/>
                <a:cs typeface="+mn-cs"/>
              </a:defRPr>
            </a:pPr>
            <a:endParaRPr lang="en-US"/>
          </a:p>
        </c:txPr>
        <c:crossAx val="-1366344128"/>
        <c:crosses val="autoZero"/>
        <c:auto val="1"/>
        <c:lblAlgn val="ctr"/>
        <c:lblOffset val="100"/>
        <c:noMultiLvlLbl val="0"/>
      </c:catAx>
      <c:valAx>
        <c:axId val="-1366344128"/>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GHEA Grapalat" panose="02000506050000020003" pitchFamily="50" charset="0"/>
                <a:ea typeface="+mn-ea"/>
                <a:cs typeface="+mn-cs"/>
              </a:defRPr>
            </a:pPr>
            <a:endParaRPr lang="en-US"/>
          </a:p>
        </c:txPr>
        <c:crossAx val="-13663370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GHEA Grapalat" panose="02000506050000020003" pitchFamily="50" charset="0"/>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369790116441631E-2"/>
          <c:y val="4.2318276918803015E-2"/>
          <c:w val="0.66902866561515173"/>
          <c:h val="0.72230577572511268"/>
        </c:manualLayout>
      </c:layout>
      <c:barChart>
        <c:barDir val="col"/>
        <c:grouping val="clustered"/>
        <c:varyColors val="0"/>
        <c:ser>
          <c:idx val="0"/>
          <c:order val="0"/>
          <c:tx>
            <c:strRef>
              <c:f>Sheet1!$B$1</c:f>
              <c:strCache>
                <c:ptCount val="1"/>
                <c:pt idx="0">
                  <c:v>Ծավալը, մլրդ դրամ</c:v>
                </c:pt>
              </c:strCache>
            </c:strRef>
          </c:tx>
          <c:invertIfNegative val="0"/>
          <c:dLbls>
            <c:spPr>
              <a:noFill/>
              <a:ln>
                <a:noFill/>
              </a:ln>
              <a:effectLst/>
            </c:spPr>
            <c:txPr>
              <a:bodyPr rot="0" vert="horz"/>
              <a:lstStyle/>
              <a:p>
                <a:pPr>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Sheet1!$A$2:$A$8</c:f>
              <c:numCache>
                <c:formatCode>0</c:formatCode>
                <c:ptCount val="5"/>
                <c:pt idx="0">
                  <c:v>2020</c:v>
                </c:pt>
                <c:pt idx="1">
                  <c:v>2021</c:v>
                </c:pt>
                <c:pt idx="2">
                  <c:v>2022</c:v>
                </c:pt>
                <c:pt idx="3">
                  <c:v>2023</c:v>
                </c:pt>
                <c:pt idx="4">
                  <c:v>2024</c:v>
                </c:pt>
              </c:numCache>
            </c:numRef>
          </c:cat>
          <c:val>
            <c:numRef>
              <c:f>Sheet1!$B$2:$B$8</c:f>
              <c:numCache>
                <c:formatCode>0.0</c:formatCode>
                <c:ptCount val="5"/>
                <c:pt idx="0">
                  <c:v>1681.80342071</c:v>
                </c:pt>
                <c:pt idx="1">
                  <c:v>1810.7087609099997</c:v>
                </c:pt>
                <c:pt idx="2">
                  <c:v>1898.7322967521998</c:v>
                </c:pt>
                <c:pt idx="3">
                  <c:v>2127.0067255930003</c:v>
                </c:pt>
                <c:pt idx="4">
                  <c:v>2413.6324348000003</c:v>
                </c:pt>
              </c:numCache>
            </c:numRef>
          </c:val>
          <c:extLst>
            <c:ext xmlns:c16="http://schemas.microsoft.com/office/drawing/2014/chart" uri="{C3380CC4-5D6E-409C-BE32-E72D297353CC}">
              <c16:uniqueId val="{00000000-2F50-4374-A37C-43A5FB33574D}"/>
            </c:ext>
          </c:extLst>
        </c:ser>
        <c:dLbls>
          <c:showLegendKey val="0"/>
          <c:showVal val="0"/>
          <c:showCatName val="0"/>
          <c:showSerName val="0"/>
          <c:showPercent val="0"/>
          <c:showBubbleSize val="0"/>
        </c:dLbls>
        <c:gapWidth val="150"/>
        <c:axId val="296445440"/>
        <c:axId val="296446976"/>
      </c:barChart>
      <c:lineChart>
        <c:grouping val="standard"/>
        <c:varyColors val="0"/>
        <c:ser>
          <c:idx val="2"/>
          <c:order val="1"/>
          <c:tx>
            <c:strRef>
              <c:f>Sheet1!$C$1</c:f>
              <c:strCache>
                <c:ptCount val="1"/>
                <c:pt idx="0">
                  <c:v>Աճը, %</c:v>
                </c:pt>
              </c:strCache>
            </c:strRef>
          </c:tx>
          <c:spPr>
            <a:ln>
              <a:solidFill>
                <a:srgbClr val="9BBB59"/>
              </a:solidFill>
            </a:ln>
          </c:spPr>
          <c:marker>
            <c:symbol val="diamond"/>
            <c:size val="7"/>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Sheet1!$A$2:$A$8</c:f>
              <c:numCache>
                <c:formatCode>0</c:formatCode>
                <c:ptCount val="5"/>
                <c:pt idx="0">
                  <c:v>2020</c:v>
                </c:pt>
                <c:pt idx="1">
                  <c:v>2021</c:v>
                </c:pt>
                <c:pt idx="2">
                  <c:v>2022</c:v>
                </c:pt>
                <c:pt idx="3">
                  <c:v>2023</c:v>
                </c:pt>
                <c:pt idx="4">
                  <c:v>2024</c:v>
                </c:pt>
              </c:numCache>
            </c:numRef>
          </c:cat>
          <c:val>
            <c:numRef>
              <c:f>Sheet1!$C$2:$C$8</c:f>
              <c:numCache>
                <c:formatCode>0.0</c:formatCode>
                <c:ptCount val="5"/>
                <c:pt idx="0">
                  <c:v>17.024091565704296</c:v>
                </c:pt>
                <c:pt idx="1">
                  <c:v>7.6647091219246306</c:v>
                </c:pt>
                <c:pt idx="2">
                  <c:v>4.8612751946901938</c:v>
                </c:pt>
                <c:pt idx="3">
                  <c:v>12.022465159057234</c:v>
                </c:pt>
                <c:pt idx="4">
                  <c:v>13.475543154528097</c:v>
                </c:pt>
              </c:numCache>
            </c:numRef>
          </c:val>
          <c:smooth val="0"/>
          <c:extLst>
            <c:ext xmlns:c16="http://schemas.microsoft.com/office/drawing/2014/chart" uri="{C3380CC4-5D6E-409C-BE32-E72D297353CC}">
              <c16:uniqueId val="{00000001-2F50-4374-A37C-43A5FB33574D}"/>
            </c:ext>
          </c:extLst>
        </c:ser>
        <c:dLbls>
          <c:showLegendKey val="0"/>
          <c:showVal val="0"/>
          <c:showCatName val="0"/>
          <c:showSerName val="0"/>
          <c:showPercent val="0"/>
          <c:showBubbleSize val="0"/>
        </c:dLbls>
        <c:marker val="1"/>
        <c:smooth val="0"/>
        <c:axId val="296462592"/>
        <c:axId val="296461056"/>
      </c:lineChart>
      <c:catAx>
        <c:axId val="296445440"/>
        <c:scaling>
          <c:orientation val="minMax"/>
        </c:scaling>
        <c:delete val="0"/>
        <c:axPos val="b"/>
        <c:numFmt formatCode="General" sourceLinked="0"/>
        <c:majorTickMark val="in"/>
        <c:minorTickMark val="in"/>
        <c:tickLblPos val="nextTo"/>
        <c:spPr>
          <a:ln/>
        </c:spPr>
        <c:txPr>
          <a:bodyPr rot="-5400000" vert="horz"/>
          <a:lstStyle/>
          <a:p>
            <a:pPr>
              <a:defRPr/>
            </a:pPr>
            <a:endParaRPr lang="en-US"/>
          </a:p>
        </c:txPr>
        <c:crossAx val="296446976"/>
        <c:crosses val="autoZero"/>
        <c:auto val="1"/>
        <c:lblAlgn val="ctr"/>
        <c:lblOffset val="100"/>
        <c:tickLblSkip val="1"/>
        <c:noMultiLvlLbl val="0"/>
      </c:catAx>
      <c:valAx>
        <c:axId val="296446976"/>
        <c:scaling>
          <c:orientation val="minMax"/>
        </c:scaling>
        <c:delete val="0"/>
        <c:axPos val="l"/>
        <c:numFmt formatCode="0.0" sourceLinked="1"/>
        <c:majorTickMark val="none"/>
        <c:minorTickMark val="none"/>
        <c:tickLblPos val="nextTo"/>
        <c:txPr>
          <a:bodyPr rot="0" vert="horz"/>
          <a:lstStyle/>
          <a:p>
            <a:pPr>
              <a:defRPr/>
            </a:pPr>
            <a:endParaRPr lang="en-US"/>
          </a:p>
        </c:txPr>
        <c:crossAx val="296445440"/>
        <c:crossesAt val="1"/>
        <c:crossBetween val="between"/>
      </c:valAx>
      <c:valAx>
        <c:axId val="296461056"/>
        <c:scaling>
          <c:orientation val="minMax"/>
        </c:scaling>
        <c:delete val="0"/>
        <c:axPos val="r"/>
        <c:numFmt formatCode="0.0" sourceLinked="1"/>
        <c:majorTickMark val="out"/>
        <c:minorTickMark val="none"/>
        <c:tickLblPos val="nextTo"/>
        <c:crossAx val="296462592"/>
        <c:crosses val="max"/>
        <c:crossBetween val="between"/>
      </c:valAx>
      <c:catAx>
        <c:axId val="296462592"/>
        <c:scaling>
          <c:orientation val="minMax"/>
        </c:scaling>
        <c:delete val="1"/>
        <c:axPos val="b"/>
        <c:numFmt formatCode="0" sourceLinked="1"/>
        <c:majorTickMark val="out"/>
        <c:minorTickMark val="none"/>
        <c:tickLblPos val="nextTo"/>
        <c:crossAx val="296461056"/>
        <c:crosses val="autoZero"/>
        <c:auto val="1"/>
        <c:lblAlgn val="ctr"/>
        <c:lblOffset val="100"/>
        <c:noMultiLvlLbl val="0"/>
      </c:catAx>
      <c:spPr>
        <a:ln w="6350">
          <a:solidFill>
            <a:sysClr val="window" lastClr="FFFFFF">
              <a:lumMod val="75000"/>
            </a:sysClr>
          </a:solidFill>
        </a:ln>
      </c:spPr>
    </c:plotArea>
    <c:legend>
      <c:legendPos val="r"/>
      <c:layout>
        <c:manualLayout>
          <c:xMode val="edge"/>
          <c:yMode val="edge"/>
          <c:x val="5.1009457478459344E-3"/>
          <c:y val="0.89607294663388315"/>
          <c:w val="0.91319148936170214"/>
          <c:h val="0.10392728472336768"/>
        </c:manualLayout>
      </c:layout>
      <c:overlay val="0"/>
    </c:legend>
    <c:plotVisOnly val="1"/>
    <c:dispBlanksAs val="gap"/>
    <c:showDLblsOverMax val="0"/>
  </c:chart>
  <c:spPr>
    <a:noFill/>
    <a:ln>
      <a:solidFill>
        <a:sysClr val="window" lastClr="FFFFFF">
          <a:lumMod val="75000"/>
        </a:sysClr>
      </a:solidFill>
    </a:ln>
  </c:spPr>
  <c:txPr>
    <a:bodyPr/>
    <a:lstStyle/>
    <a:p>
      <a:pPr>
        <a:defRPr sz="900" b="0" i="0" u="none" strike="noStrike" baseline="0">
          <a:solidFill>
            <a:srgbClr val="000000"/>
          </a:solidFill>
          <a:latin typeface="GHEA Grapalat"/>
          <a:ea typeface="GHEA Grapalat"/>
          <a:cs typeface="GHEA Grapalat"/>
        </a:defRPr>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947162915886005"/>
          <c:y val="6.8779136896752302E-2"/>
          <c:w val="0.72553576334122483"/>
          <c:h val="0.68261448575818873"/>
        </c:manualLayout>
      </c:layout>
      <c:barChart>
        <c:barDir val="col"/>
        <c:grouping val="clustered"/>
        <c:varyColors val="0"/>
        <c:ser>
          <c:idx val="0"/>
          <c:order val="0"/>
          <c:tx>
            <c:strRef>
              <c:f>Sheet1!$B$1</c:f>
              <c:strCache>
                <c:ptCount val="1"/>
                <c:pt idx="0">
                  <c:v>Ծավալը, մլրդ դրամ</c:v>
                </c:pt>
              </c:strCache>
            </c:strRef>
          </c:tx>
          <c:invertIfNegative val="0"/>
          <c:dLbls>
            <c:spPr>
              <a:noFill/>
              <a:ln>
                <a:noFill/>
              </a:ln>
              <a:effectLst/>
            </c:spPr>
            <c:txPr>
              <a:bodyPr rot="0" vert="horz"/>
              <a:lstStyle/>
              <a:p>
                <a:pPr>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Sheet1!$A$2:$A$8</c:f>
              <c:numCache>
                <c:formatCode>0</c:formatCode>
                <c:ptCount val="5"/>
                <c:pt idx="0">
                  <c:v>2020</c:v>
                </c:pt>
                <c:pt idx="1">
                  <c:v>2021</c:v>
                </c:pt>
                <c:pt idx="2">
                  <c:v>2022</c:v>
                </c:pt>
                <c:pt idx="3">
                  <c:v>2023</c:v>
                </c:pt>
                <c:pt idx="4">
                  <c:v>2024</c:v>
                </c:pt>
              </c:numCache>
            </c:numRef>
          </c:cat>
          <c:val>
            <c:numRef>
              <c:f>Sheet1!$B$2:$B$8</c:f>
              <c:numCache>
                <c:formatCode>0.0</c:formatCode>
                <c:ptCount val="5"/>
                <c:pt idx="0">
                  <c:v>227.69831293999999</c:v>
                </c:pt>
                <c:pt idx="1">
                  <c:v>218.39952757</c:v>
                </c:pt>
                <c:pt idx="2">
                  <c:v>389.11973379</c:v>
                </c:pt>
                <c:pt idx="3">
                  <c:v>494.35393634000002</c:v>
                </c:pt>
                <c:pt idx="4">
                  <c:v>557.75169660999995</c:v>
                </c:pt>
              </c:numCache>
            </c:numRef>
          </c:val>
          <c:extLst>
            <c:ext xmlns:c16="http://schemas.microsoft.com/office/drawing/2014/chart" uri="{C3380CC4-5D6E-409C-BE32-E72D297353CC}">
              <c16:uniqueId val="{00000000-1D8E-4057-A19A-73461C34235A}"/>
            </c:ext>
          </c:extLst>
        </c:ser>
        <c:dLbls>
          <c:showLegendKey val="0"/>
          <c:showVal val="0"/>
          <c:showCatName val="0"/>
          <c:showSerName val="0"/>
          <c:showPercent val="0"/>
          <c:showBubbleSize val="0"/>
        </c:dLbls>
        <c:gapWidth val="150"/>
        <c:axId val="296659968"/>
        <c:axId val="296661760"/>
      </c:barChart>
      <c:lineChart>
        <c:grouping val="standard"/>
        <c:varyColors val="0"/>
        <c:ser>
          <c:idx val="2"/>
          <c:order val="1"/>
          <c:tx>
            <c:strRef>
              <c:f>Sheet1!$C$1</c:f>
              <c:strCache>
                <c:ptCount val="1"/>
                <c:pt idx="0">
                  <c:v>աճը, %</c:v>
                </c:pt>
              </c:strCache>
            </c:strRef>
          </c:tx>
          <c:spPr>
            <a:ln>
              <a:solidFill>
                <a:srgbClr val="70AD47"/>
              </a:solidFill>
            </a:ln>
          </c:spPr>
          <c:marker>
            <c:symbol val="diamond"/>
            <c:size val="7"/>
          </c:marker>
          <c:dLbls>
            <c:dLbl>
              <c:idx val="1"/>
              <c:layout>
                <c:manualLayout>
                  <c:x val="9.2021964522172872E-3"/>
                  <c:y val="-5.749715684657397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D8E-4057-A19A-73461C34235A}"/>
                </c:ext>
              </c:extLst>
            </c:dLbl>
            <c:dLbl>
              <c:idx val="6"/>
              <c:layout>
                <c:manualLayout>
                  <c:x val="-0.12930676629306781"/>
                  <c:y val="-0.11482902013213075"/>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D8E-4057-A19A-73461C34235A}"/>
                </c:ext>
              </c:extLst>
            </c:dLbl>
            <c:dLbl>
              <c:idx val="7"/>
              <c:layout>
                <c:manualLayout>
                  <c:x val="-9.257999039036699E-2"/>
                  <c:y val="-0.16334059675837104"/>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D8E-4057-A19A-73461C34235A}"/>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Sheet1!$A$2:$A$8</c:f>
              <c:numCache>
                <c:formatCode>0</c:formatCode>
                <c:ptCount val="5"/>
                <c:pt idx="0">
                  <c:v>2020</c:v>
                </c:pt>
                <c:pt idx="1">
                  <c:v>2021</c:v>
                </c:pt>
                <c:pt idx="2">
                  <c:v>2022</c:v>
                </c:pt>
                <c:pt idx="3">
                  <c:v>2023</c:v>
                </c:pt>
                <c:pt idx="4">
                  <c:v>2024</c:v>
                </c:pt>
              </c:numCache>
            </c:numRef>
          </c:cat>
          <c:val>
            <c:numRef>
              <c:f>Sheet1!$C$2:$C$8</c:f>
              <c:numCache>
                <c:formatCode>0.0</c:formatCode>
                <c:ptCount val="5"/>
                <c:pt idx="0">
                  <c:v>17.96799295951854</c:v>
                </c:pt>
                <c:pt idx="1">
                  <c:v>-4.0838182988427718</c:v>
                </c:pt>
                <c:pt idx="2">
                  <c:v>78.1687616816304</c:v>
                </c:pt>
                <c:pt idx="3">
                  <c:v>27.044170061750904</c:v>
                </c:pt>
                <c:pt idx="4">
                  <c:v>12.82436643255474</c:v>
                </c:pt>
              </c:numCache>
            </c:numRef>
          </c:val>
          <c:smooth val="0"/>
          <c:extLst>
            <c:ext xmlns:c16="http://schemas.microsoft.com/office/drawing/2014/chart" uri="{C3380CC4-5D6E-409C-BE32-E72D297353CC}">
              <c16:uniqueId val="{00000004-1D8E-4057-A19A-73461C34235A}"/>
            </c:ext>
          </c:extLst>
        </c:ser>
        <c:dLbls>
          <c:showLegendKey val="0"/>
          <c:showVal val="0"/>
          <c:showCatName val="0"/>
          <c:showSerName val="0"/>
          <c:showPercent val="0"/>
          <c:showBubbleSize val="0"/>
        </c:dLbls>
        <c:marker val="1"/>
        <c:smooth val="0"/>
        <c:axId val="297074688"/>
        <c:axId val="296663296"/>
      </c:lineChart>
      <c:catAx>
        <c:axId val="296659968"/>
        <c:scaling>
          <c:orientation val="minMax"/>
        </c:scaling>
        <c:delete val="0"/>
        <c:axPos val="b"/>
        <c:numFmt formatCode="General" sourceLinked="0"/>
        <c:majorTickMark val="in"/>
        <c:minorTickMark val="in"/>
        <c:tickLblPos val="nextTo"/>
        <c:spPr>
          <a:ln/>
        </c:spPr>
        <c:txPr>
          <a:bodyPr rot="-5400000" vert="horz"/>
          <a:lstStyle/>
          <a:p>
            <a:pPr>
              <a:defRPr/>
            </a:pPr>
            <a:endParaRPr lang="en-US"/>
          </a:p>
        </c:txPr>
        <c:crossAx val="296661760"/>
        <c:crosses val="autoZero"/>
        <c:auto val="1"/>
        <c:lblAlgn val="ctr"/>
        <c:lblOffset val="100"/>
        <c:noMultiLvlLbl val="0"/>
      </c:catAx>
      <c:valAx>
        <c:axId val="296661760"/>
        <c:scaling>
          <c:orientation val="minMax"/>
        </c:scaling>
        <c:delete val="0"/>
        <c:axPos val="l"/>
        <c:numFmt formatCode="0.0" sourceLinked="1"/>
        <c:majorTickMark val="none"/>
        <c:minorTickMark val="none"/>
        <c:tickLblPos val="nextTo"/>
        <c:txPr>
          <a:bodyPr rot="0" vert="horz"/>
          <a:lstStyle/>
          <a:p>
            <a:pPr>
              <a:defRPr/>
            </a:pPr>
            <a:endParaRPr lang="en-US"/>
          </a:p>
        </c:txPr>
        <c:crossAx val="296659968"/>
        <c:crossesAt val="1"/>
        <c:crossBetween val="between"/>
      </c:valAx>
      <c:valAx>
        <c:axId val="296663296"/>
        <c:scaling>
          <c:orientation val="minMax"/>
        </c:scaling>
        <c:delete val="0"/>
        <c:axPos val="r"/>
        <c:numFmt formatCode="0.0" sourceLinked="1"/>
        <c:majorTickMark val="out"/>
        <c:minorTickMark val="none"/>
        <c:tickLblPos val="nextTo"/>
        <c:crossAx val="297074688"/>
        <c:crosses val="max"/>
        <c:crossBetween val="between"/>
      </c:valAx>
      <c:catAx>
        <c:axId val="297074688"/>
        <c:scaling>
          <c:orientation val="minMax"/>
        </c:scaling>
        <c:delete val="1"/>
        <c:axPos val="b"/>
        <c:numFmt formatCode="0" sourceLinked="1"/>
        <c:majorTickMark val="out"/>
        <c:minorTickMark val="none"/>
        <c:tickLblPos val="nextTo"/>
        <c:crossAx val="296663296"/>
        <c:crosses val="autoZero"/>
        <c:auto val="1"/>
        <c:lblAlgn val="ctr"/>
        <c:lblOffset val="100"/>
        <c:noMultiLvlLbl val="0"/>
      </c:catAx>
      <c:spPr>
        <a:ln w="6350">
          <a:solidFill>
            <a:sysClr val="window" lastClr="FFFFFF">
              <a:lumMod val="75000"/>
            </a:sysClr>
          </a:solidFill>
        </a:ln>
      </c:spPr>
    </c:plotArea>
    <c:legend>
      <c:legendPos val="r"/>
      <c:layout>
        <c:manualLayout>
          <c:xMode val="edge"/>
          <c:yMode val="edge"/>
          <c:x val="8.7085764764841284E-2"/>
          <c:y val="0.89607278189904715"/>
          <c:w val="0.87496952458350263"/>
          <c:h val="0.10392728472336768"/>
        </c:manualLayout>
      </c:layout>
      <c:overlay val="0"/>
    </c:legend>
    <c:plotVisOnly val="1"/>
    <c:dispBlanksAs val="gap"/>
    <c:showDLblsOverMax val="0"/>
  </c:chart>
  <c:spPr>
    <a:noFill/>
    <a:ln>
      <a:solidFill>
        <a:sysClr val="window" lastClr="FFFFFF">
          <a:lumMod val="75000"/>
        </a:sysClr>
      </a:solidFill>
    </a:ln>
  </c:spPr>
  <c:txPr>
    <a:bodyPr/>
    <a:lstStyle/>
    <a:p>
      <a:pPr>
        <a:defRPr sz="900" b="0" i="0" u="none" strike="noStrike" baseline="0">
          <a:solidFill>
            <a:srgbClr val="000000"/>
          </a:solidFill>
          <a:latin typeface="GHEA Grapalat"/>
          <a:ea typeface="GHEA Grapalat"/>
          <a:cs typeface="GHEA Grapalat"/>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000" b="0"/>
            </a:pPr>
            <a:r>
              <a:rPr lang="hy-AM" sz="1000" b="0"/>
              <a:t>ՀՀ պետական բյուջեի պակասուրդ</a:t>
            </a:r>
            <a:endParaRPr lang="en-US" sz="1000" b="0"/>
          </a:p>
        </c:rich>
      </c:tx>
      <c:layout>
        <c:manualLayout>
          <c:xMode val="edge"/>
          <c:yMode val="edge"/>
          <c:x val="0.16406301379813321"/>
          <c:y val="0"/>
        </c:manualLayout>
      </c:layout>
      <c:overlay val="0"/>
      <c:spPr>
        <a:noFill/>
        <a:ln w="25399">
          <a:noFill/>
        </a:ln>
      </c:spPr>
    </c:title>
    <c:autoTitleDeleted val="0"/>
    <c:plotArea>
      <c:layout>
        <c:manualLayout>
          <c:layoutTarget val="inner"/>
          <c:xMode val="edge"/>
          <c:yMode val="edge"/>
          <c:x val="0.1119659006331809"/>
          <c:y val="0.14415640081280162"/>
          <c:w val="0.78453242443506488"/>
          <c:h val="0.63773987661136455"/>
        </c:manualLayout>
      </c:layout>
      <c:barChart>
        <c:barDir val="col"/>
        <c:grouping val="clustered"/>
        <c:varyColors val="0"/>
        <c:ser>
          <c:idx val="1"/>
          <c:order val="1"/>
          <c:tx>
            <c:strRef>
              <c:f>Sheet1!$C$1</c:f>
              <c:strCache>
                <c:ptCount val="1"/>
                <c:pt idx="0">
                  <c:v>մլրդ դրամ</c:v>
                </c:pt>
              </c:strCache>
            </c:strRef>
          </c:tx>
          <c:spPr>
            <a:solidFill>
              <a:srgbClr val="C0504D"/>
            </a:solidFill>
            <a:ln w="25399">
              <a:noFill/>
            </a:ln>
          </c:spPr>
          <c:invertIfNegative val="0"/>
          <c:cat>
            <c:numRef>
              <c:f>Sheet1!$A$2:$A$10</c:f>
              <c:numCache>
                <c:formatCode>General</c:formatCode>
                <c:ptCount val="5"/>
                <c:pt idx="0">
                  <c:v>2020</c:v>
                </c:pt>
                <c:pt idx="1">
                  <c:v>2021</c:v>
                </c:pt>
                <c:pt idx="2">
                  <c:v>2022</c:v>
                </c:pt>
                <c:pt idx="3">
                  <c:v>2023</c:v>
                </c:pt>
                <c:pt idx="4">
                  <c:v>2024</c:v>
                </c:pt>
              </c:numCache>
            </c:numRef>
          </c:cat>
          <c:val>
            <c:numRef>
              <c:f>Sheet1!$C$2:$C$10</c:f>
              <c:numCache>
                <c:formatCode>0</c:formatCode>
                <c:ptCount val="5"/>
                <c:pt idx="0">
                  <c:v>333.99175224000004</c:v>
                </c:pt>
                <c:pt idx="1">
                  <c:v>320.46961205000002</c:v>
                </c:pt>
                <c:pt idx="2">
                  <c:v>179.53</c:v>
                </c:pt>
                <c:pt idx="3">
                  <c:v>188.86628549829999</c:v>
                </c:pt>
                <c:pt idx="4" formatCode="0.0">
                  <c:v>376.08865917999998</c:v>
                </c:pt>
              </c:numCache>
            </c:numRef>
          </c:val>
          <c:extLst>
            <c:ext xmlns:c16="http://schemas.microsoft.com/office/drawing/2014/chart" uri="{C3380CC4-5D6E-409C-BE32-E72D297353CC}">
              <c16:uniqueId val="{00000000-1BBF-46E6-998A-FFA7A7B78CBC}"/>
            </c:ext>
          </c:extLst>
        </c:ser>
        <c:dLbls>
          <c:showLegendKey val="0"/>
          <c:showVal val="0"/>
          <c:showCatName val="0"/>
          <c:showSerName val="0"/>
          <c:showPercent val="0"/>
          <c:showBubbleSize val="0"/>
        </c:dLbls>
        <c:gapWidth val="219"/>
        <c:overlap val="-27"/>
        <c:axId val="-1366349024"/>
        <c:axId val="-742396656"/>
      </c:barChart>
      <c:lineChart>
        <c:grouping val="standard"/>
        <c:varyColors val="0"/>
        <c:ser>
          <c:idx val="0"/>
          <c:order val="0"/>
          <c:tx>
            <c:strRef>
              <c:f>Sheet1!$B$1</c:f>
              <c:strCache>
                <c:ptCount val="1"/>
                <c:pt idx="0">
                  <c:v>% ՀՆԱ-ում (աջ առանցք)</c:v>
                </c:pt>
              </c:strCache>
            </c:strRef>
          </c:tx>
          <c:spPr>
            <a:ln w="28574" cap="rnd">
              <a:solidFill>
                <a:schemeClr val="accent1"/>
              </a:solidFill>
              <a:round/>
            </a:ln>
            <a:effectLst/>
          </c:spPr>
          <c:marker>
            <c:symbol val="circle"/>
            <c:size val="6"/>
            <c:spPr>
              <a:solidFill>
                <a:schemeClr val="accent1"/>
              </a:solidFill>
              <a:ln w="9525">
                <a:solidFill>
                  <a:schemeClr val="accent1"/>
                </a:solidFill>
              </a:ln>
              <a:effectLst/>
            </c:spPr>
          </c:marker>
          <c:dLbls>
            <c:dLbl>
              <c:idx val="2"/>
              <c:layout>
                <c:manualLayout>
                  <c:x val="-0.10453875395089936"/>
                  <c:y val="-4.63281051562103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BBF-46E6-998A-FFA7A7B78CBC}"/>
                </c:ext>
              </c:extLst>
            </c:dLbl>
            <c:spPr>
              <a:noFill/>
              <a:ln w="25399">
                <a:noFill/>
              </a:ln>
            </c:spPr>
            <c:txPr>
              <a:bodyPr/>
              <a:lstStyle/>
              <a:p>
                <a:pPr>
                  <a:defRPr b="0"/>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Sheet1!$A$2:$A$10</c:f>
              <c:numCache>
                <c:formatCode>General</c:formatCode>
                <c:ptCount val="5"/>
                <c:pt idx="0">
                  <c:v>2020</c:v>
                </c:pt>
                <c:pt idx="1">
                  <c:v>2021</c:v>
                </c:pt>
                <c:pt idx="2">
                  <c:v>2022</c:v>
                </c:pt>
                <c:pt idx="3">
                  <c:v>2023</c:v>
                </c:pt>
                <c:pt idx="4">
                  <c:v>2024</c:v>
                </c:pt>
              </c:numCache>
            </c:numRef>
          </c:cat>
          <c:val>
            <c:numRef>
              <c:f>Sheet1!$B$2:$B$10</c:f>
              <c:numCache>
                <c:formatCode>0.0</c:formatCode>
                <c:ptCount val="5"/>
                <c:pt idx="0">
                  <c:v>5.4011268385206446</c:v>
                </c:pt>
                <c:pt idx="1">
                  <c:v>4.5893822193137623</c:v>
                </c:pt>
                <c:pt idx="2">
                  <c:v>2.1</c:v>
                </c:pt>
                <c:pt idx="3">
                  <c:v>1.9874848552011899</c:v>
                </c:pt>
                <c:pt idx="4">
                  <c:v>3.71366148134297</c:v>
                </c:pt>
              </c:numCache>
            </c:numRef>
          </c:val>
          <c:smooth val="0"/>
          <c:extLst>
            <c:ext xmlns:c16="http://schemas.microsoft.com/office/drawing/2014/chart" uri="{C3380CC4-5D6E-409C-BE32-E72D297353CC}">
              <c16:uniqueId val="{00000002-1BBF-46E6-998A-FFA7A7B78CBC}"/>
            </c:ext>
          </c:extLst>
        </c:ser>
        <c:dLbls>
          <c:showLegendKey val="0"/>
          <c:showVal val="0"/>
          <c:showCatName val="0"/>
          <c:showSerName val="0"/>
          <c:showPercent val="0"/>
          <c:showBubbleSize val="0"/>
        </c:dLbls>
        <c:marker val="1"/>
        <c:smooth val="0"/>
        <c:axId val="-742403728"/>
        <c:axId val="-742405360"/>
      </c:lineChart>
      <c:catAx>
        <c:axId val="-1366349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sz="900"/>
            </a:pPr>
            <a:endParaRPr lang="en-US"/>
          </a:p>
        </c:txPr>
        <c:crossAx val="-742396656"/>
        <c:crosses val="autoZero"/>
        <c:auto val="1"/>
        <c:lblAlgn val="ctr"/>
        <c:lblOffset val="100"/>
        <c:noMultiLvlLbl val="0"/>
      </c:catAx>
      <c:valAx>
        <c:axId val="-742396656"/>
        <c:scaling>
          <c:orientation val="minMax"/>
        </c:scaling>
        <c:delete val="0"/>
        <c:axPos val="l"/>
        <c:numFmt formatCode="0" sourceLinked="1"/>
        <c:majorTickMark val="none"/>
        <c:minorTickMark val="none"/>
        <c:tickLblPos val="nextTo"/>
        <c:spPr>
          <a:ln w="9525">
            <a:noFill/>
          </a:ln>
        </c:spPr>
        <c:txPr>
          <a:bodyPr rot="-60000000" vert="horz"/>
          <a:lstStyle/>
          <a:p>
            <a:pPr>
              <a:defRPr sz="900"/>
            </a:pPr>
            <a:endParaRPr lang="en-US"/>
          </a:p>
        </c:txPr>
        <c:crossAx val="-1366349024"/>
        <c:crosses val="autoZero"/>
        <c:crossBetween val="between"/>
        <c:majorUnit val="100"/>
      </c:valAx>
      <c:catAx>
        <c:axId val="-742403728"/>
        <c:scaling>
          <c:orientation val="minMax"/>
        </c:scaling>
        <c:delete val="1"/>
        <c:axPos val="b"/>
        <c:numFmt formatCode="General" sourceLinked="1"/>
        <c:majorTickMark val="out"/>
        <c:minorTickMark val="none"/>
        <c:tickLblPos val="nextTo"/>
        <c:crossAx val="-742405360"/>
        <c:crosses val="autoZero"/>
        <c:auto val="1"/>
        <c:lblAlgn val="ctr"/>
        <c:lblOffset val="100"/>
        <c:noMultiLvlLbl val="0"/>
      </c:catAx>
      <c:valAx>
        <c:axId val="-742405360"/>
        <c:scaling>
          <c:orientation val="minMax"/>
        </c:scaling>
        <c:delete val="0"/>
        <c:axPos val="r"/>
        <c:numFmt formatCode="0.0" sourceLinked="1"/>
        <c:majorTickMark val="out"/>
        <c:minorTickMark val="none"/>
        <c:tickLblPos val="nextTo"/>
        <c:spPr>
          <a:ln w="9525">
            <a:noFill/>
          </a:ln>
        </c:spPr>
        <c:txPr>
          <a:bodyPr rot="-60000000" vert="horz"/>
          <a:lstStyle/>
          <a:p>
            <a:pPr>
              <a:defRPr sz="900"/>
            </a:pPr>
            <a:endParaRPr lang="en-US"/>
          </a:p>
        </c:txPr>
        <c:crossAx val="-742403728"/>
        <c:crosses val="max"/>
        <c:crossBetween val="between"/>
      </c:valAx>
      <c:spPr>
        <a:solidFill>
          <a:schemeClr val="bg1"/>
        </a:solidFill>
        <a:ln w="6350">
          <a:solidFill>
            <a:sysClr val="window" lastClr="FFFFFF">
              <a:lumMod val="85000"/>
            </a:sysClr>
          </a:solidFill>
        </a:ln>
        <a:effectLst/>
      </c:spPr>
    </c:plotArea>
    <c:legend>
      <c:legendPos val="b"/>
      <c:layout>
        <c:manualLayout>
          <c:xMode val="edge"/>
          <c:yMode val="edge"/>
          <c:x val="0"/>
          <c:y val="0.87117547085600633"/>
          <c:w val="0.99706179041665977"/>
          <c:h val="0.12088822243230091"/>
        </c:manualLayout>
      </c:layout>
      <c:overlay val="0"/>
      <c:spPr>
        <a:noFill/>
        <a:ln w="25399">
          <a:noFill/>
        </a:ln>
      </c:spPr>
      <c:txPr>
        <a:bodyPr rot="0" vert="horz"/>
        <a:lstStyle/>
        <a:p>
          <a:pPr>
            <a:defRPr/>
          </a:pPr>
          <a:endParaRPr lang="en-US"/>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000" b="0"/>
            </a:pPr>
            <a:r>
              <a:rPr lang="hy-AM" sz="1000" b="0"/>
              <a:t>ՀՀ կառավարության պարտք</a:t>
            </a:r>
            <a:endParaRPr lang="en-US" sz="1000" b="0"/>
          </a:p>
        </c:rich>
      </c:tx>
      <c:layout>
        <c:manualLayout>
          <c:xMode val="edge"/>
          <c:yMode val="edge"/>
          <c:x val="0.18065476541273337"/>
          <c:y val="3.0910559257015949E-3"/>
        </c:manualLayout>
      </c:layout>
      <c:overlay val="0"/>
      <c:spPr>
        <a:noFill/>
        <a:ln w="25438">
          <a:noFill/>
        </a:ln>
      </c:spPr>
    </c:title>
    <c:autoTitleDeleted val="0"/>
    <c:plotArea>
      <c:layout>
        <c:manualLayout>
          <c:layoutTarget val="inner"/>
          <c:xMode val="edge"/>
          <c:yMode val="edge"/>
          <c:x val="0.20030584500290757"/>
          <c:y val="0.15318016573533147"/>
          <c:w val="0.62270168324767783"/>
          <c:h val="0.63931723299688203"/>
        </c:manualLayout>
      </c:layout>
      <c:barChart>
        <c:barDir val="col"/>
        <c:grouping val="clustered"/>
        <c:varyColors val="0"/>
        <c:ser>
          <c:idx val="1"/>
          <c:order val="1"/>
          <c:tx>
            <c:strRef>
              <c:f>Sheet1!$C$1</c:f>
              <c:strCache>
                <c:ptCount val="1"/>
                <c:pt idx="0">
                  <c:v>մլրդ դրամ</c:v>
                </c:pt>
              </c:strCache>
            </c:strRef>
          </c:tx>
          <c:spPr>
            <a:solidFill>
              <a:srgbClr val="C0504D"/>
            </a:solidFill>
            <a:ln w="25438">
              <a:noFill/>
            </a:ln>
          </c:spPr>
          <c:invertIfNegative val="0"/>
          <c:cat>
            <c:numRef>
              <c:f>Sheet1!$A$2:$A$10</c:f>
              <c:numCache>
                <c:formatCode>General</c:formatCode>
                <c:ptCount val="5"/>
                <c:pt idx="0">
                  <c:v>2020</c:v>
                </c:pt>
                <c:pt idx="1">
                  <c:v>2021</c:v>
                </c:pt>
                <c:pt idx="2">
                  <c:v>2022</c:v>
                </c:pt>
                <c:pt idx="3">
                  <c:v>2023</c:v>
                </c:pt>
                <c:pt idx="4">
                  <c:v>2024</c:v>
                </c:pt>
              </c:numCache>
            </c:numRef>
          </c:cat>
          <c:val>
            <c:numRef>
              <c:f>Sheet1!$C$2:$C$10</c:f>
              <c:numCache>
                <c:formatCode>_(* #,##0_);_(* \(#,##0\);_(* "-"??_);_(@_)</c:formatCode>
                <c:ptCount val="5"/>
                <c:pt idx="0">
                  <c:v>3923.8890671175195</c:v>
                </c:pt>
                <c:pt idx="1">
                  <c:v>4209.8379084366843</c:v>
                </c:pt>
                <c:pt idx="2" formatCode="_(* #,##0.0_);_(* \(#,##0.0\);_(* &quot;-&quot;??_);_(@_)">
                  <c:v>3969.6861616986098</c:v>
                </c:pt>
                <c:pt idx="3" formatCode="#,##0.0">
                  <c:v>4571.9458306086499</c:v>
                </c:pt>
                <c:pt idx="4" formatCode="_(* #,##0.0_);_(* \(#,##0.0\);_(* &quot;-&quot;??_);_(@_)">
                  <c:v>4892.8473076977898</c:v>
                </c:pt>
              </c:numCache>
            </c:numRef>
          </c:val>
          <c:extLst>
            <c:ext xmlns:c16="http://schemas.microsoft.com/office/drawing/2014/chart" uri="{C3380CC4-5D6E-409C-BE32-E72D297353CC}">
              <c16:uniqueId val="{00000000-F5B8-4B66-A267-62F3A5BFEAA0}"/>
            </c:ext>
          </c:extLst>
        </c:ser>
        <c:dLbls>
          <c:showLegendKey val="0"/>
          <c:showVal val="0"/>
          <c:showCatName val="0"/>
          <c:showSerName val="0"/>
          <c:showPercent val="0"/>
          <c:showBubbleSize val="0"/>
        </c:dLbls>
        <c:gapWidth val="219"/>
        <c:overlap val="-27"/>
        <c:axId val="-742395568"/>
        <c:axId val="-742404816"/>
      </c:barChart>
      <c:lineChart>
        <c:grouping val="standard"/>
        <c:varyColors val="0"/>
        <c:ser>
          <c:idx val="0"/>
          <c:order val="0"/>
          <c:tx>
            <c:strRef>
              <c:f>Sheet1!$B$1</c:f>
              <c:strCache>
                <c:ptCount val="1"/>
                <c:pt idx="0">
                  <c:v>% ՀՆԱ-ում (աջ առանցք)</c:v>
                </c:pt>
              </c:strCache>
            </c:strRef>
          </c:tx>
          <c:spPr>
            <a:ln w="28619" cap="rnd">
              <a:solidFill>
                <a:schemeClr val="accent1"/>
              </a:solidFill>
              <a:round/>
            </a:ln>
            <a:effectLst/>
          </c:spPr>
          <c:marker>
            <c:symbol val="circle"/>
            <c:size val="6"/>
            <c:spPr>
              <a:solidFill>
                <a:schemeClr val="accent1"/>
              </a:solidFill>
              <a:ln w="9539">
                <a:solidFill>
                  <a:schemeClr val="accent1"/>
                </a:solidFill>
              </a:ln>
              <a:effectLst/>
            </c:spPr>
          </c:marker>
          <c:dLbls>
            <c:spPr>
              <a:noFill/>
              <a:ln w="25440">
                <a:noFill/>
              </a:ln>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Sheet1!$A$2:$A$10</c:f>
              <c:numCache>
                <c:formatCode>General</c:formatCode>
                <c:ptCount val="5"/>
                <c:pt idx="0">
                  <c:v>2020</c:v>
                </c:pt>
                <c:pt idx="1">
                  <c:v>2021</c:v>
                </c:pt>
                <c:pt idx="2">
                  <c:v>2022</c:v>
                </c:pt>
                <c:pt idx="3">
                  <c:v>2023</c:v>
                </c:pt>
                <c:pt idx="4">
                  <c:v>2024</c:v>
                </c:pt>
              </c:numCache>
            </c:numRef>
          </c:cat>
          <c:val>
            <c:numRef>
              <c:f>Sheet1!$B$2:$B$10</c:f>
              <c:numCache>
                <c:formatCode>0.0</c:formatCode>
                <c:ptCount val="5"/>
                <c:pt idx="0">
                  <c:v>63.473809294852337</c:v>
                </c:pt>
                <c:pt idx="1">
                  <c:v>60.211265701788832</c:v>
                </c:pt>
                <c:pt idx="2">
                  <c:v>46.69430429353595</c:v>
                </c:pt>
                <c:pt idx="3">
                  <c:v>48.364129835834525</c:v>
                </c:pt>
                <c:pt idx="4" formatCode="_(* #,##0.0_);_(* \(#,##0.0\);_(* &quot;-&quot;??_);_(@_)">
                  <c:v>48.31408269610543</c:v>
                </c:pt>
              </c:numCache>
            </c:numRef>
          </c:val>
          <c:smooth val="0"/>
          <c:extLst>
            <c:ext xmlns:c16="http://schemas.microsoft.com/office/drawing/2014/chart" uri="{C3380CC4-5D6E-409C-BE32-E72D297353CC}">
              <c16:uniqueId val="{00000001-F5B8-4B66-A267-62F3A5BFEAA0}"/>
            </c:ext>
          </c:extLst>
        </c:ser>
        <c:dLbls>
          <c:showLegendKey val="0"/>
          <c:showVal val="0"/>
          <c:showCatName val="0"/>
          <c:showSerName val="0"/>
          <c:showPercent val="0"/>
          <c:showBubbleSize val="0"/>
        </c:dLbls>
        <c:marker val="1"/>
        <c:smooth val="0"/>
        <c:axId val="-742402096"/>
        <c:axId val="-742403184"/>
      </c:lineChart>
      <c:catAx>
        <c:axId val="-742395568"/>
        <c:scaling>
          <c:orientation val="minMax"/>
        </c:scaling>
        <c:delete val="0"/>
        <c:axPos val="b"/>
        <c:numFmt formatCode="General" sourceLinked="1"/>
        <c:majorTickMark val="none"/>
        <c:minorTickMark val="none"/>
        <c:tickLblPos val="nextTo"/>
        <c:spPr>
          <a:noFill/>
          <a:ln w="9539" cap="flat" cmpd="sng" algn="ctr">
            <a:solidFill>
              <a:schemeClr val="tx1">
                <a:lumMod val="15000"/>
                <a:lumOff val="85000"/>
              </a:schemeClr>
            </a:solidFill>
            <a:round/>
          </a:ln>
          <a:effectLst/>
        </c:spPr>
        <c:txPr>
          <a:bodyPr rot="-60000000" vert="horz"/>
          <a:lstStyle/>
          <a:p>
            <a:pPr>
              <a:defRPr sz="900"/>
            </a:pPr>
            <a:endParaRPr lang="en-US"/>
          </a:p>
        </c:txPr>
        <c:crossAx val="-742404816"/>
        <c:crosses val="autoZero"/>
        <c:auto val="1"/>
        <c:lblAlgn val="ctr"/>
        <c:lblOffset val="100"/>
        <c:noMultiLvlLbl val="0"/>
      </c:catAx>
      <c:valAx>
        <c:axId val="-742404816"/>
        <c:scaling>
          <c:orientation val="minMax"/>
        </c:scaling>
        <c:delete val="0"/>
        <c:axPos val="l"/>
        <c:numFmt formatCode="_(* #,##0_);_(* \(#,##0\);_(* &quot;-&quot;??_);_(@_)" sourceLinked="1"/>
        <c:majorTickMark val="none"/>
        <c:minorTickMark val="none"/>
        <c:tickLblPos val="nextTo"/>
        <c:spPr>
          <a:ln w="9539">
            <a:noFill/>
          </a:ln>
        </c:spPr>
        <c:txPr>
          <a:bodyPr rot="-60000000" vert="horz"/>
          <a:lstStyle/>
          <a:p>
            <a:pPr>
              <a:defRPr sz="900"/>
            </a:pPr>
            <a:endParaRPr lang="en-US"/>
          </a:p>
        </c:txPr>
        <c:crossAx val="-742395568"/>
        <c:crosses val="autoZero"/>
        <c:crossBetween val="between"/>
      </c:valAx>
      <c:catAx>
        <c:axId val="-742402096"/>
        <c:scaling>
          <c:orientation val="minMax"/>
        </c:scaling>
        <c:delete val="1"/>
        <c:axPos val="b"/>
        <c:numFmt formatCode="General" sourceLinked="1"/>
        <c:majorTickMark val="out"/>
        <c:minorTickMark val="none"/>
        <c:tickLblPos val="nextTo"/>
        <c:crossAx val="-742403184"/>
        <c:crosses val="autoZero"/>
        <c:auto val="1"/>
        <c:lblAlgn val="ctr"/>
        <c:lblOffset val="100"/>
        <c:noMultiLvlLbl val="0"/>
      </c:catAx>
      <c:valAx>
        <c:axId val="-742403184"/>
        <c:scaling>
          <c:orientation val="minMax"/>
        </c:scaling>
        <c:delete val="0"/>
        <c:axPos val="r"/>
        <c:numFmt formatCode="0.0" sourceLinked="1"/>
        <c:majorTickMark val="out"/>
        <c:minorTickMark val="none"/>
        <c:tickLblPos val="nextTo"/>
        <c:spPr>
          <a:ln w="9539">
            <a:noFill/>
          </a:ln>
        </c:spPr>
        <c:txPr>
          <a:bodyPr rot="-60000000" vert="horz"/>
          <a:lstStyle/>
          <a:p>
            <a:pPr>
              <a:defRPr sz="900"/>
            </a:pPr>
            <a:endParaRPr lang="en-US"/>
          </a:p>
        </c:txPr>
        <c:crossAx val="-742402096"/>
        <c:crosses val="max"/>
        <c:crossBetween val="between"/>
      </c:valAx>
      <c:spPr>
        <a:solidFill>
          <a:schemeClr val="bg1"/>
        </a:solidFill>
        <a:ln w="6350">
          <a:solidFill>
            <a:sysClr val="window" lastClr="FFFFFF">
              <a:lumMod val="85000"/>
            </a:sysClr>
          </a:solidFill>
        </a:ln>
        <a:effectLst/>
      </c:spPr>
    </c:plotArea>
    <c:legend>
      <c:legendPos val="b"/>
      <c:layout>
        <c:manualLayout>
          <c:xMode val="edge"/>
          <c:yMode val="edge"/>
          <c:x val="1.9821548088964101E-2"/>
          <c:y val="0.87886775691500096"/>
          <c:w val="0.9769734023253096"/>
          <c:h val="0.10922794266101354"/>
        </c:manualLayout>
      </c:layout>
      <c:overlay val="0"/>
      <c:spPr>
        <a:noFill/>
        <a:ln w="25438">
          <a:noFill/>
        </a:ln>
      </c:spPr>
      <c:txPr>
        <a:bodyPr rot="0" vert="horz"/>
        <a:lstStyle/>
        <a:p>
          <a:pPr>
            <a:defRPr sz="900"/>
          </a:pPr>
          <a:endParaRPr lang="en-US"/>
        </a:p>
      </c:txPr>
    </c:legend>
    <c:plotVisOnly val="1"/>
    <c:dispBlanksAs val="gap"/>
    <c:showDLblsOverMax val="0"/>
  </c:chart>
  <c:spPr>
    <a:noFill/>
    <a:ln w="9539" cap="flat" cmpd="sng" algn="ctr">
      <a:solidFill>
        <a:schemeClr val="tx1">
          <a:lumMod val="15000"/>
          <a:lumOff val="85000"/>
        </a:schemeClr>
      </a:solidFill>
      <a:round/>
    </a:ln>
    <a:effectLst/>
  </c:spPr>
  <c:txPr>
    <a:bodyPr/>
    <a:lstStyle/>
    <a:p>
      <a:pPr>
        <a:defRPr>
          <a:latin typeface="GHEA Grapalat" panose="02000506050000020003" pitchFamily="50" charset="0"/>
        </a:defRPr>
      </a:pPr>
      <a:endParaRPr lang="en-US"/>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2940564252396001E-2"/>
          <c:y val="5.526148783640851E-2"/>
          <c:w val="0.58595805697720971"/>
          <c:h val="0.83521996317624481"/>
        </c:manualLayout>
      </c:layout>
      <c:barChart>
        <c:barDir val="col"/>
        <c:grouping val="stacked"/>
        <c:varyColors val="0"/>
        <c:ser>
          <c:idx val="0"/>
          <c:order val="0"/>
          <c:tx>
            <c:strRef>
              <c:f>Sheet1!$B$1</c:f>
              <c:strCache>
                <c:ptCount val="1"/>
                <c:pt idx="0">
                  <c:v>Մնացորդ</c:v>
                </c:pt>
              </c:strCache>
            </c:strRef>
          </c:tx>
          <c:spPr>
            <a:ln w="28589" cap="rnd">
              <a:noFill/>
              <a:round/>
            </a:ln>
            <a:effectLst/>
          </c:spPr>
          <c:invertIfNegative val="0"/>
          <c:cat>
            <c:numRef>
              <c:f>Sheet1!$A$2:$A$9</c:f>
              <c:numCache>
                <c:formatCode>0</c:formatCode>
                <c:ptCount val="5"/>
                <c:pt idx="0">
                  <c:v>2020</c:v>
                </c:pt>
                <c:pt idx="1">
                  <c:v>2021</c:v>
                </c:pt>
                <c:pt idx="2">
                  <c:v>2022</c:v>
                </c:pt>
                <c:pt idx="3">
                  <c:v>2023</c:v>
                </c:pt>
                <c:pt idx="4">
                  <c:v>2024</c:v>
                </c:pt>
              </c:numCache>
            </c:numRef>
          </c:cat>
          <c:val>
            <c:numRef>
              <c:f>Sheet1!$B$2:$B$9</c:f>
              <c:numCache>
                <c:formatCode>0.0</c:formatCode>
                <c:ptCount val="5"/>
                <c:pt idx="0">
                  <c:v>-5.0748245695246084</c:v>
                </c:pt>
                <c:pt idx="1">
                  <c:v>2.8053884038893475</c:v>
                </c:pt>
                <c:pt idx="2">
                  <c:v>3.8269154290864904</c:v>
                </c:pt>
                <c:pt idx="3">
                  <c:v>-1.0388749288193591</c:v>
                </c:pt>
                <c:pt idx="4">
                  <c:v>0.27571406965215006</c:v>
                </c:pt>
              </c:numCache>
            </c:numRef>
          </c:val>
          <c:extLst>
            <c:ext xmlns:c16="http://schemas.microsoft.com/office/drawing/2014/chart" uri="{C3380CC4-5D6E-409C-BE32-E72D297353CC}">
              <c16:uniqueId val="{00000000-DAEC-420D-95F4-23E1C7560545}"/>
            </c:ext>
          </c:extLst>
        </c:ser>
        <c:ser>
          <c:idx val="1"/>
          <c:order val="1"/>
          <c:tx>
            <c:strRef>
              <c:f>Sheet1!$C$1</c:f>
              <c:strCache>
                <c:ptCount val="1"/>
                <c:pt idx="0">
                  <c:v>Այլ հոսքեր (այդ թվում՝ զուտ վարկավորում)</c:v>
                </c:pt>
              </c:strCache>
            </c:strRef>
          </c:tx>
          <c:spPr>
            <a:solidFill>
              <a:srgbClr val="C0504D"/>
            </a:solidFill>
            <a:ln w="25412">
              <a:noFill/>
            </a:ln>
          </c:spPr>
          <c:invertIfNegative val="0"/>
          <c:cat>
            <c:numRef>
              <c:f>Sheet1!$A$2:$A$9</c:f>
              <c:numCache>
                <c:formatCode>0</c:formatCode>
                <c:ptCount val="5"/>
                <c:pt idx="0">
                  <c:v>2020</c:v>
                </c:pt>
                <c:pt idx="1">
                  <c:v>2021</c:v>
                </c:pt>
                <c:pt idx="2">
                  <c:v>2022</c:v>
                </c:pt>
                <c:pt idx="3">
                  <c:v>2023</c:v>
                </c:pt>
                <c:pt idx="4">
                  <c:v>2024</c:v>
                </c:pt>
              </c:numCache>
            </c:numRef>
          </c:cat>
          <c:val>
            <c:numRef>
              <c:f>Sheet1!$C$2:$C$9</c:f>
              <c:numCache>
                <c:formatCode>0.0</c:formatCode>
                <c:ptCount val="5"/>
                <c:pt idx="0">
                  <c:v>2.21635856273718</c:v>
                </c:pt>
                <c:pt idx="1">
                  <c:v>2.0044311451919463</c:v>
                </c:pt>
                <c:pt idx="2">
                  <c:v>1.9356766900099158</c:v>
                </c:pt>
                <c:pt idx="3">
                  <c:v>3.5245699008498432</c:v>
                </c:pt>
                <c:pt idx="4">
                  <c:v>9.7785440858631625E-2</c:v>
                </c:pt>
              </c:numCache>
            </c:numRef>
          </c:val>
          <c:extLst>
            <c:ext xmlns:c16="http://schemas.microsoft.com/office/drawing/2014/chart" uri="{C3380CC4-5D6E-409C-BE32-E72D297353CC}">
              <c16:uniqueId val="{00000001-DAEC-420D-95F4-23E1C7560545}"/>
            </c:ext>
          </c:extLst>
        </c:ser>
        <c:ser>
          <c:idx val="2"/>
          <c:order val="2"/>
          <c:tx>
            <c:strRef>
              <c:f>Sheet1!$D$1</c:f>
              <c:strCache>
                <c:ptCount val="1"/>
                <c:pt idx="0">
                  <c:v>Փոխարժեքի արժեզրկում</c:v>
                </c:pt>
              </c:strCache>
            </c:strRef>
          </c:tx>
          <c:invertIfNegative val="0"/>
          <c:cat>
            <c:numRef>
              <c:f>Sheet1!$A$2:$A$9</c:f>
              <c:numCache>
                <c:formatCode>0</c:formatCode>
                <c:ptCount val="5"/>
                <c:pt idx="0">
                  <c:v>2020</c:v>
                </c:pt>
                <c:pt idx="1">
                  <c:v>2021</c:v>
                </c:pt>
                <c:pt idx="2">
                  <c:v>2022</c:v>
                </c:pt>
                <c:pt idx="3">
                  <c:v>2023</c:v>
                </c:pt>
                <c:pt idx="4">
                  <c:v>2024</c:v>
                </c:pt>
              </c:numCache>
            </c:numRef>
          </c:cat>
          <c:val>
            <c:numRef>
              <c:f>Sheet1!$D$2:$D$9</c:f>
              <c:numCache>
                <c:formatCode>0.0</c:formatCode>
                <c:ptCount val="5"/>
                <c:pt idx="0">
                  <c:v>7.7276045913410369</c:v>
                </c:pt>
                <c:pt idx="1">
                  <c:v>-4.1064127374131729</c:v>
                </c:pt>
                <c:pt idx="2">
                  <c:v>-11.08439534939259</c:v>
                </c:pt>
                <c:pt idx="3">
                  <c:v>1.6449462201647991</c:v>
                </c:pt>
                <c:pt idx="4">
                  <c:v>-1.065366996612672</c:v>
                </c:pt>
              </c:numCache>
            </c:numRef>
          </c:val>
          <c:extLst>
            <c:ext xmlns:c16="http://schemas.microsoft.com/office/drawing/2014/chart" uri="{C3380CC4-5D6E-409C-BE32-E72D297353CC}">
              <c16:uniqueId val="{00000002-DAEC-420D-95F4-23E1C7560545}"/>
            </c:ext>
          </c:extLst>
        </c:ser>
        <c:ser>
          <c:idx val="3"/>
          <c:order val="3"/>
          <c:tx>
            <c:strRef>
              <c:f>Sheet1!$E$1</c:f>
              <c:strCache>
                <c:ptCount val="1"/>
                <c:pt idx="0">
                  <c:v>Իրական ՀՆԱ աճ</c:v>
                </c:pt>
              </c:strCache>
            </c:strRef>
          </c:tx>
          <c:invertIfNegative val="0"/>
          <c:cat>
            <c:numRef>
              <c:f>Sheet1!$A$2:$A$9</c:f>
              <c:numCache>
                <c:formatCode>0</c:formatCode>
                <c:ptCount val="5"/>
                <c:pt idx="0">
                  <c:v>2020</c:v>
                </c:pt>
                <c:pt idx="1">
                  <c:v>2021</c:v>
                </c:pt>
                <c:pt idx="2">
                  <c:v>2022</c:v>
                </c:pt>
                <c:pt idx="3">
                  <c:v>2023</c:v>
                </c:pt>
                <c:pt idx="4">
                  <c:v>2024</c:v>
                </c:pt>
              </c:numCache>
            </c:numRef>
          </c:cat>
          <c:val>
            <c:numRef>
              <c:f>Sheet1!$E$2:$E$9</c:f>
              <c:numCache>
                <c:formatCode>0.0</c:formatCode>
                <c:ptCount val="5"/>
                <c:pt idx="0">
                  <c:v>3.926057975495334</c:v>
                </c:pt>
                <c:pt idx="1">
                  <c:v>-3.18050947021265</c:v>
                </c:pt>
                <c:pt idx="2">
                  <c:v>-6.2428320794759395</c:v>
                </c:pt>
                <c:pt idx="3">
                  <c:v>-3.6343338154475808</c:v>
                </c:pt>
                <c:pt idx="4">
                  <c:v>-2.6635764306567777</c:v>
                </c:pt>
              </c:numCache>
            </c:numRef>
          </c:val>
          <c:extLst>
            <c:ext xmlns:c16="http://schemas.microsoft.com/office/drawing/2014/chart" uri="{C3380CC4-5D6E-409C-BE32-E72D297353CC}">
              <c16:uniqueId val="{00000003-DAEC-420D-95F4-23E1C7560545}"/>
            </c:ext>
          </c:extLst>
        </c:ser>
        <c:ser>
          <c:idx val="4"/>
          <c:order val="4"/>
          <c:tx>
            <c:strRef>
              <c:f>Sheet1!$F$1</c:f>
              <c:strCache>
                <c:ptCount val="1"/>
                <c:pt idx="0">
                  <c:v>Իրական տոկոսադրույք</c:v>
                </c:pt>
              </c:strCache>
            </c:strRef>
          </c:tx>
          <c:invertIfNegative val="0"/>
          <c:cat>
            <c:numRef>
              <c:f>Sheet1!$A$2:$A$9</c:f>
              <c:numCache>
                <c:formatCode>0</c:formatCode>
                <c:ptCount val="5"/>
                <c:pt idx="0">
                  <c:v>2020</c:v>
                </c:pt>
                <c:pt idx="1">
                  <c:v>2021</c:v>
                </c:pt>
                <c:pt idx="2">
                  <c:v>2022</c:v>
                </c:pt>
                <c:pt idx="3">
                  <c:v>2023</c:v>
                </c:pt>
                <c:pt idx="4">
                  <c:v>2024</c:v>
                </c:pt>
              </c:numCache>
            </c:numRef>
          </c:cat>
          <c:val>
            <c:numRef>
              <c:f>Sheet1!$F$2:$F$9</c:f>
              <c:numCache>
                <c:formatCode>0.0</c:formatCode>
                <c:ptCount val="5"/>
                <c:pt idx="0">
                  <c:v>1.8892831418731026</c:v>
                </c:pt>
                <c:pt idx="1">
                  <c:v>-2.710557332184548</c:v>
                </c:pt>
                <c:pt idx="2">
                  <c:v>-1.6238836096552516</c:v>
                </c:pt>
                <c:pt idx="3">
                  <c:v>1.6000367001661333</c:v>
                </c:pt>
                <c:pt idx="4">
                  <c:v>2.7175956470224736</c:v>
                </c:pt>
              </c:numCache>
            </c:numRef>
          </c:val>
          <c:extLst>
            <c:ext xmlns:c16="http://schemas.microsoft.com/office/drawing/2014/chart" uri="{C3380CC4-5D6E-409C-BE32-E72D297353CC}">
              <c16:uniqueId val="{00000004-DAEC-420D-95F4-23E1C7560545}"/>
            </c:ext>
          </c:extLst>
        </c:ser>
        <c:ser>
          <c:idx val="5"/>
          <c:order val="5"/>
          <c:tx>
            <c:strRef>
              <c:f>Sheet1!$G$1</c:f>
              <c:strCache>
                <c:ptCount val="1"/>
                <c:pt idx="0">
                  <c:v>Առաջնային պակասուրդ</c:v>
                </c:pt>
              </c:strCache>
            </c:strRef>
          </c:tx>
          <c:invertIfNegative val="0"/>
          <c:cat>
            <c:numRef>
              <c:f>Sheet1!$A$2:$A$9</c:f>
              <c:numCache>
                <c:formatCode>0</c:formatCode>
                <c:ptCount val="5"/>
                <c:pt idx="0">
                  <c:v>2020</c:v>
                </c:pt>
                <c:pt idx="1">
                  <c:v>2021</c:v>
                </c:pt>
                <c:pt idx="2">
                  <c:v>2022</c:v>
                </c:pt>
                <c:pt idx="3">
                  <c:v>2023</c:v>
                </c:pt>
                <c:pt idx="4">
                  <c:v>2024</c:v>
                </c:pt>
              </c:numCache>
            </c:numRef>
          </c:cat>
          <c:val>
            <c:numRef>
              <c:f>Sheet1!$G$2:$G$9</c:f>
              <c:numCache>
                <c:formatCode>0.0</c:formatCode>
                <c:ptCount val="5"/>
                <c:pt idx="0">
                  <c:v>2.7058821432047737</c:v>
                </c:pt>
                <c:pt idx="1">
                  <c:v>1.9996616027161203</c:v>
                </c:pt>
                <c:pt idx="2">
                  <c:v>-0.37885727665999819</c:v>
                </c:pt>
                <c:pt idx="3">
                  <c:v>-0.67897468998909594</c:v>
                </c:pt>
                <c:pt idx="4">
                  <c:v>0.5878011300070991</c:v>
                </c:pt>
              </c:numCache>
            </c:numRef>
          </c:val>
          <c:extLst>
            <c:ext xmlns:c16="http://schemas.microsoft.com/office/drawing/2014/chart" uri="{C3380CC4-5D6E-409C-BE32-E72D297353CC}">
              <c16:uniqueId val="{00000005-DAEC-420D-95F4-23E1C7560545}"/>
            </c:ext>
          </c:extLst>
        </c:ser>
        <c:dLbls>
          <c:showLegendKey val="0"/>
          <c:showVal val="0"/>
          <c:showCatName val="0"/>
          <c:showSerName val="0"/>
          <c:showPercent val="0"/>
          <c:showBubbleSize val="0"/>
        </c:dLbls>
        <c:gapWidth val="219"/>
        <c:overlap val="100"/>
        <c:axId val="-742394480"/>
        <c:axId val="-742400464"/>
      </c:barChart>
      <c:lineChart>
        <c:grouping val="standard"/>
        <c:varyColors val="0"/>
        <c:ser>
          <c:idx val="6"/>
          <c:order val="6"/>
          <c:tx>
            <c:strRef>
              <c:f>Sheet1!$H$1</c:f>
              <c:strCache>
                <c:ptCount val="1"/>
                <c:pt idx="0">
                  <c:v>Պարտք/ՀՆԱ փոփոխություն, %-ային կետ </c:v>
                </c:pt>
              </c:strCache>
            </c:strRef>
          </c:tx>
          <c:marker>
            <c:symbol val="square"/>
            <c:size val="5"/>
          </c:marker>
          <c:dLbls>
            <c:spPr>
              <a:noFill/>
              <a:ln w="25414">
                <a:noFill/>
              </a:ln>
            </c:spPr>
            <c:txPr>
              <a:bodyPr wrap="square" lIns="38100" tIns="19050" rIns="38100" bIns="19050" anchor="ctr">
                <a:spAutoFit/>
              </a:bodyPr>
              <a:lstStyle/>
              <a:p>
                <a:pPr>
                  <a:defRPr sz="1051" b="1">
                    <a:latin typeface="GHEA Grapalat" panose="02000506050000020003"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Sheet1!$A$2:$A$9</c:f>
              <c:numCache>
                <c:formatCode>0</c:formatCode>
                <c:ptCount val="5"/>
                <c:pt idx="0">
                  <c:v>2020</c:v>
                </c:pt>
                <c:pt idx="1">
                  <c:v>2021</c:v>
                </c:pt>
                <c:pt idx="2">
                  <c:v>2022</c:v>
                </c:pt>
                <c:pt idx="3">
                  <c:v>2023</c:v>
                </c:pt>
                <c:pt idx="4">
                  <c:v>2024</c:v>
                </c:pt>
              </c:numCache>
            </c:numRef>
          </c:cat>
          <c:val>
            <c:numRef>
              <c:f>Sheet1!$H$2:$H$9</c:f>
              <c:numCache>
                <c:formatCode>0.0</c:formatCode>
                <c:ptCount val="5"/>
                <c:pt idx="0">
                  <c:v>13.390361845126819</c:v>
                </c:pt>
                <c:pt idx="1">
                  <c:v>-3.1879983880129572</c:v>
                </c:pt>
                <c:pt idx="2">
                  <c:v>-13.567376196087373</c:v>
                </c:pt>
                <c:pt idx="3">
                  <c:v>1.4173693869247401</c:v>
                </c:pt>
                <c:pt idx="4">
                  <c:v>-5.0047139729095136E-2</c:v>
                </c:pt>
              </c:numCache>
            </c:numRef>
          </c:val>
          <c:smooth val="0"/>
          <c:extLst>
            <c:ext xmlns:c16="http://schemas.microsoft.com/office/drawing/2014/chart" uri="{C3380CC4-5D6E-409C-BE32-E72D297353CC}">
              <c16:uniqueId val="{00000006-DAEC-420D-95F4-23E1C7560545}"/>
            </c:ext>
          </c:extLst>
        </c:ser>
        <c:dLbls>
          <c:showLegendKey val="0"/>
          <c:showVal val="0"/>
          <c:showCatName val="0"/>
          <c:showSerName val="0"/>
          <c:showPercent val="0"/>
          <c:showBubbleSize val="0"/>
        </c:dLbls>
        <c:marker val="1"/>
        <c:smooth val="0"/>
        <c:axId val="-742394480"/>
        <c:axId val="-742400464"/>
      </c:lineChart>
      <c:catAx>
        <c:axId val="-742394480"/>
        <c:scaling>
          <c:orientation val="minMax"/>
        </c:scaling>
        <c:delete val="0"/>
        <c:axPos val="b"/>
        <c:numFmt formatCode="0" sourceLinked="1"/>
        <c:majorTickMark val="none"/>
        <c:minorTickMark val="none"/>
        <c:tickLblPos val="low"/>
        <c:spPr>
          <a:noFill/>
          <a:ln w="9529"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GHEA Grapalat" pitchFamily="50" charset="0"/>
                <a:ea typeface="+mn-ea"/>
                <a:cs typeface="+mn-cs"/>
              </a:defRPr>
            </a:pPr>
            <a:endParaRPr lang="en-US"/>
          </a:p>
        </c:txPr>
        <c:crossAx val="-742400464"/>
        <c:crosses val="autoZero"/>
        <c:auto val="1"/>
        <c:lblAlgn val="ctr"/>
        <c:lblOffset val="100"/>
        <c:noMultiLvlLbl val="0"/>
      </c:catAx>
      <c:valAx>
        <c:axId val="-742400464"/>
        <c:scaling>
          <c:orientation val="minMax"/>
        </c:scaling>
        <c:delete val="0"/>
        <c:axPos val="l"/>
        <c:numFmt formatCode="0.0" sourceLinked="1"/>
        <c:majorTickMark val="none"/>
        <c:minorTickMark val="none"/>
        <c:tickLblPos val="nextTo"/>
        <c:spPr>
          <a:ln w="9529">
            <a:noFill/>
          </a:ln>
        </c:spPr>
        <c:txPr>
          <a:bodyPr rot="-60000000" spcFirstLastPara="1" vertOverflow="ellipsis" vert="horz" wrap="square" anchor="ctr" anchorCtr="1"/>
          <a:lstStyle/>
          <a:p>
            <a:pPr>
              <a:defRPr sz="900" b="0" i="0" u="none" strike="noStrike" kern="1200" baseline="0">
                <a:solidFill>
                  <a:sysClr val="windowText" lastClr="000000"/>
                </a:solidFill>
                <a:latin typeface="GHEA Grapalat" pitchFamily="50" charset="0"/>
                <a:ea typeface="+mn-ea"/>
                <a:cs typeface="+mn-cs"/>
              </a:defRPr>
            </a:pPr>
            <a:endParaRPr lang="en-US"/>
          </a:p>
        </c:txPr>
        <c:crossAx val="-742394480"/>
        <c:crosses val="autoZero"/>
        <c:crossBetween val="between"/>
      </c:valAx>
      <c:spPr>
        <a:solidFill>
          <a:schemeClr val="bg1"/>
        </a:solidFill>
        <a:ln w="6354">
          <a:solidFill>
            <a:sysClr val="window" lastClr="FFFFFF">
              <a:lumMod val="85000"/>
            </a:sysClr>
          </a:solidFill>
        </a:ln>
        <a:effectLst/>
      </c:spPr>
    </c:plotArea>
    <c:legend>
      <c:legendPos val="r"/>
      <c:layout>
        <c:manualLayout>
          <c:xMode val="edge"/>
          <c:yMode val="edge"/>
          <c:x val="0.68027204744203362"/>
          <c:y val="5.2015707338908215E-2"/>
          <c:w val="0.30790307320182264"/>
          <c:h val="0.92339620338155393"/>
        </c:manualLayout>
      </c:layout>
      <c:overlay val="0"/>
      <c:spPr>
        <a:noFill/>
        <a:ln w="25412">
          <a:noFill/>
        </a:ln>
      </c:spPr>
      <c:txPr>
        <a:bodyPr rot="0" spcFirstLastPara="1" vertOverflow="ellipsis" vert="horz" wrap="square" anchor="ctr" anchorCtr="1"/>
        <a:lstStyle/>
        <a:p>
          <a:pPr>
            <a:defRPr sz="800" b="0" i="0" u="none" strike="noStrike" kern="1200" baseline="0">
              <a:solidFill>
                <a:sysClr val="windowText" lastClr="000000"/>
              </a:solidFill>
              <a:latin typeface="GHEA Grapalat" pitchFamily="50" charset="0"/>
              <a:ea typeface="+mn-ea"/>
              <a:cs typeface="+mn-cs"/>
            </a:defRPr>
          </a:pPr>
          <a:endParaRPr lang="en-US"/>
        </a:p>
      </c:txPr>
    </c:legend>
    <c:plotVisOnly val="1"/>
    <c:dispBlanksAs val="gap"/>
    <c:showDLblsOverMax val="0"/>
  </c:chart>
  <c:spPr>
    <a:noFill/>
    <a:ln w="9529" cap="flat" cmpd="sng" algn="ctr">
      <a:solidFill>
        <a:sysClr val="window" lastClr="FFFFFF">
          <a:lumMod val="75000"/>
        </a:sysClr>
      </a:solidFill>
      <a:round/>
    </a:ln>
    <a:effectLst/>
  </c:spPr>
  <c:txPr>
    <a:bodyPr/>
    <a:lstStyle/>
    <a:p>
      <a:pPr>
        <a:defRPr/>
      </a:pPr>
      <a:endParaRPr lang="en-US"/>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2BED1-ECB5-4890-A5AD-605137C56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14</Pages>
  <Words>4181</Words>
  <Characters>23832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Narek Karapetyan</dc:creator>
  <cp:keywords/>
  <dc:description/>
  <cp:lastModifiedBy>Emma Ghaytanjyan</cp:lastModifiedBy>
  <cp:revision>25</cp:revision>
  <cp:lastPrinted>2025-04-07T11:13:00Z</cp:lastPrinted>
  <dcterms:created xsi:type="dcterms:W3CDTF">2025-04-08T13:17:00Z</dcterms:created>
  <dcterms:modified xsi:type="dcterms:W3CDTF">2025-04-11T13:17:00Z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12c87337-b443-4c63-8ac5-2677c4a12979</vt:lpwstr>
  </property>
</Properties>
</file>